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外语系学科竞赛指导教师管理办法</w:t>
      </w:r>
    </w:p>
    <w:p>
      <w:pPr>
        <w:spacing w:line="48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第一条</w:t>
      </w:r>
      <w:r>
        <w:rPr>
          <w:rFonts w:hint="eastAsia" w:asciiTheme="minorEastAsia" w:hAnsiTheme="minorEastAsia" w:cstheme="minorEastAsia"/>
          <w:sz w:val="28"/>
          <w:szCs w:val="28"/>
        </w:rPr>
        <w:t xml:space="preserve"> 为鼓励广大教师积极参与指导大学生学科竞赛，不断提高竞赛成绩，以赛促教，以赛促学，根据学校学科竞赛相关规定，结合外语系实际情况，特制定本办法。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第二条</w:t>
      </w:r>
      <w:r>
        <w:rPr>
          <w:rFonts w:hint="eastAsia" w:asciiTheme="minorEastAsia" w:hAnsiTheme="minorEastAsia" w:cstheme="minorEastAsia"/>
          <w:sz w:val="28"/>
          <w:szCs w:val="28"/>
        </w:rPr>
        <w:t xml:space="preserve"> 本办法适用于由外语系主（承）办的各类国家级、省级、校级学科竞赛(以当年教务处发布大学生学科竞赛目录为准</w:t>
      </w:r>
      <w:r>
        <w:rPr>
          <w:rFonts w:asciiTheme="minorEastAsia" w:hAnsiTheme="minorEastAsia" w:cstheme="minorEastAsia"/>
          <w:sz w:val="28"/>
          <w:szCs w:val="28"/>
        </w:rPr>
        <w:t>)</w:t>
      </w:r>
      <w:r>
        <w:rPr>
          <w:rFonts w:hint="eastAsia" w:asciiTheme="minorEastAsia" w:hAnsi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第二章 指导教师资格及要求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第三条 </w:t>
      </w:r>
      <w:r>
        <w:rPr>
          <w:rFonts w:hint="eastAsia" w:asciiTheme="minorEastAsia" w:hAnsiTheme="minorEastAsia" w:cstheme="minorEastAsia"/>
          <w:sz w:val="28"/>
          <w:szCs w:val="28"/>
        </w:rPr>
        <w:t>本办法所涉及的指导教师指对参赛选手进行具体指导的外语系教师。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第四条 </w:t>
      </w:r>
      <w:r>
        <w:rPr>
          <w:rFonts w:hint="eastAsia" w:asciiTheme="minorEastAsia" w:hAnsiTheme="minorEastAsia" w:cstheme="minorEastAsia"/>
          <w:sz w:val="28"/>
          <w:szCs w:val="28"/>
        </w:rPr>
        <w:t>学科竞赛指导教师需具备竞赛应有的专业知识和组织协调能力，并有充足的时间与精力对竞赛选手进行指导。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第五条 </w:t>
      </w:r>
      <w:r>
        <w:rPr>
          <w:rFonts w:hint="eastAsia" w:asciiTheme="minorEastAsia" w:hAnsiTheme="minorEastAsia" w:cstheme="minorEastAsia"/>
          <w:sz w:val="28"/>
          <w:szCs w:val="28"/>
        </w:rPr>
        <w:t>指导教师需熟悉相关竞赛的基本情况，包括竞赛规格、主办单位、竞赛主要内容等。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第六条 </w:t>
      </w:r>
      <w:r>
        <w:rPr>
          <w:rFonts w:hint="eastAsia" w:asciiTheme="minorEastAsia" w:hAnsiTheme="minorEastAsia" w:cstheme="minorEastAsia"/>
          <w:sz w:val="28"/>
          <w:szCs w:val="28"/>
        </w:rPr>
        <w:t>为保证竞赛指导质量，原则上近两年连续担任竞赛指导教师，但所指导学生未获得省级及以上奖项者不得在两年内申请指导教师资格。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第三章 指导教师选拔流程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第七条 </w:t>
      </w:r>
      <w:r>
        <w:rPr>
          <w:rFonts w:hint="eastAsia" w:asciiTheme="minorEastAsia" w:hAnsiTheme="minorEastAsia" w:cstheme="minorEastAsia"/>
          <w:sz w:val="28"/>
          <w:szCs w:val="28"/>
        </w:rPr>
        <w:t>指导教师的选拔坚持个人申报、外语系审核、指导教师与参赛选手双向选择的原则。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第八条 </w:t>
      </w:r>
      <w:r>
        <w:rPr>
          <w:rFonts w:hint="eastAsia" w:asciiTheme="minorEastAsia" w:hAnsiTheme="minorEastAsia" w:cstheme="minorEastAsia"/>
          <w:sz w:val="28"/>
          <w:szCs w:val="28"/>
        </w:rPr>
        <w:t>选拔程序。符合资格的教师向外语系教学办公室提交《外语系学科竞赛指导教师申请表》（见附件），外语系建立学科竞赛指导教师库</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参赛选手参赛前自行联系指导教师，教学</w:t>
      </w:r>
      <w:r>
        <w:rPr>
          <w:rFonts w:hint="eastAsia" w:asciiTheme="minorEastAsia" w:hAnsiTheme="minorEastAsia" w:cstheme="minorEastAsia"/>
          <w:sz w:val="28"/>
          <w:szCs w:val="28"/>
          <w:lang w:eastAsia="zh-CN"/>
        </w:rPr>
        <w:t>办公室</w:t>
      </w:r>
      <w:r>
        <w:rPr>
          <w:rFonts w:hint="eastAsia" w:asciiTheme="minorEastAsia" w:hAnsiTheme="minorEastAsia" w:cstheme="minorEastAsia"/>
          <w:sz w:val="28"/>
          <w:szCs w:val="28"/>
        </w:rPr>
        <w:t>在分管</w:t>
      </w:r>
      <w:r>
        <w:rPr>
          <w:rFonts w:hint="eastAsia" w:asciiTheme="minorEastAsia" w:hAnsiTheme="minorEastAsia" w:cstheme="minorEastAsia"/>
          <w:sz w:val="28"/>
          <w:szCs w:val="28"/>
          <w:lang w:eastAsia="zh-CN"/>
        </w:rPr>
        <w:t>学科竞赛</w:t>
      </w:r>
      <w:r>
        <w:rPr>
          <w:rFonts w:hint="eastAsia" w:asciiTheme="minorEastAsia" w:hAnsiTheme="minorEastAsia" w:cstheme="minorEastAsia"/>
          <w:sz w:val="28"/>
          <w:szCs w:val="28"/>
        </w:rPr>
        <w:t>领导的</w:t>
      </w:r>
      <w:r>
        <w:rPr>
          <w:rFonts w:hint="eastAsia" w:asciiTheme="minorEastAsia" w:hAnsiTheme="minorEastAsia" w:cstheme="minorEastAsia"/>
          <w:sz w:val="28"/>
          <w:szCs w:val="28"/>
          <w:lang w:eastAsia="zh-CN"/>
        </w:rPr>
        <w:t>指导</w:t>
      </w:r>
      <w:bookmarkStart w:id="0" w:name="_GoBack"/>
      <w:bookmarkEnd w:id="0"/>
      <w:r>
        <w:rPr>
          <w:rFonts w:hint="eastAsia" w:asciiTheme="minorEastAsia" w:hAnsiTheme="minorEastAsia" w:cstheme="minorEastAsia"/>
          <w:sz w:val="28"/>
          <w:szCs w:val="28"/>
        </w:rPr>
        <w:t>下，按照学科竞赛的具体要求，结合教师个人申请和参赛选手的选择情况，按照双向选择原则，最终确认指导教师名单。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第四章 指导教师职责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第九条 </w:t>
      </w:r>
      <w:r>
        <w:rPr>
          <w:rFonts w:hint="eastAsia" w:asciiTheme="minorEastAsia" w:hAnsiTheme="minorEastAsia" w:cstheme="minorEastAsia"/>
          <w:sz w:val="28"/>
          <w:szCs w:val="28"/>
        </w:rPr>
        <w:t>指导教师需对参赛选手进行赛前培训，参赛期间为参赛选手提供指导和后勤保障。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第十条 </w:t>
      </w:r>
      <w:r>
        <w:rPr>
          <w:rFonts w:hint="eastAsia" w:asciiTheme="minorEastAsia" w:hAnsiTheme="minorEastAsia" w:cstheme="minorEastAsia"/>
          <w:sz w:val="28"/>
          <w:szCs w:val="28"/>
        </w:rPr>
        <w:t>竞赛结束后，参赛教师需及时撰写竞赛新闻报道，同时将参赛选手和指导教师获奖证书复印件等相关材料交系教学办公室。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    第十一条 </w:t>
      </w:r>
      <w:r>
        <w:rPr>
          <w:rFonts w:hint="eastAsia" w:asciiTheme="minorEastAsia" w:hAnsiTheme="minorEastAsia" w:cstheme="minorEastAsia"/>
          <w:sz w:val="28"/>
          <w:szCs w:val="28"/>
        </w:rPr>
        <w:t>因竞赛组织协调不力或指导竞赛期间出现其它严重失误的，两年内不得再次担任各类竞赛的指导教师。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第五章 其它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第十二条 </w:t>
      </w:r>
      <w:r>
        <w:rPr>
          <w:rFonts w:hint="eastAsia" w:asciiTheme="minorEastAsia" w:hAnsiTheme="minorEastAsia" w:cstheme="minorEastAsia"/>
          <w:sz w:val="28"/>
          <w:szCs w:val="28"/>
        </w:rPr>
        <w:t>获奖认定以竞赛官方网站公布的结果或者竞赛组委会颁发的证书为准，获奖教师在年度考核评价时予以认可和计分，计分标准由各教研室确定。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第十三条 </w:t>
      </w:r>
      <w:r>
        <w:rPr>
          <w:rFonts w:hint="eastAsia" w:asciiTheme="minorEastAsia" w:hAnsiTheme="minorEastAsia" w:cstheme="minorEastAsia"/>
          <w:sz w:val="28"/>
          <w:szCs w:val="28"/>
        </w:rPr>
        <w:t>对于不在学校认可范围内的学科竞赛项目，外语系对于指导教师获奖认定可根据竞赛类别及获奖等级，经教授委员会讨论确定是否予以认可。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第十四条  </w:t>
      </w:r>
      <w:r>
        <w:rPr>
          <w:rFonts w:hint="eastAsia" w:asciiTheme="minorEastAsia" w:hAnsiTheme="minorEastAsia" w:cstheme="minorEastAsia"/>
          <w:sz w:val="28"/>
          <w:szCs w:val="28"/>
        </w:rPr>
        <w:t>本办法自印发之日起实施，由外语系教学办公室负责解释。</w:t>
      </w:r>
    </w:p>
    <w:p>
      <w:pPr>
        <w:spacing w:line="400" w:lineRule="exact"/>
        <w:ind w:firstLine="560" w:firstLineChars="200"/>
        <w:rPr>
          <w:rFonts w:asciiTheme="minorEastAsia" w:hAnsiTheme="minorEastAsia" w:cstheme="minorEastAsia"/>
          <w:sz w:val="28"/>
          <w:szCs w:val="28"/>
        </w:rPr>
      </w:pPr>
    </w:p>
    <w:p>
      <w:pPr>
        <w:spacing w:line="400" w:lineRule="exact"/>
        <w:ind w:firstLine="560" w:firstLineChars="200"/>
        <w:jc w:val="right"/>
        <w:rPr>
          <w:rFonts w:asciiTheme="minorEastAsia" w:hAnsiTheme="minorEastAsia" w:cstheme="minorEastAsia"/>
          <w:sz w:val="28"/>
          <w:szCs w:val="28"/>
        </w:rPr>
      </w:pPr>
    </w:p>
    <w:p>
      <w:pPr>
        <w:spacing w:line="360" w:lineRule="auto"/>
        <w:ind w:left="420" w:leftChars="200"/>
        <w:rPr>
          <w:rFonts w:asciiTheme="minorEastAsia" w:hAnsiTheme="minorEastAsia" w:cstheme="minorEastAsia"/>
          <w:sz w:val="28"/>
          <w:szCs w:val="28"/>
        </w:rPr>
      </w:pP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附件：外语系学科竞赛指导教师申请表</w:t>
      </w:r>
    </w:p>
    <w:p>
      <w:pPr>
        <w:spacing w:line="360" w:lineRule="auto"/>
        <w:ind w:firstLine="560" w:firstLineChars="200"/>
        <w:rPr>
          <w:rFonts w:asciiTheme="minorEastAsia" w:hAnsiTheme="minorEastAsia" w:cstheme="minorEastAsia"/>
          <w:sz w:val="28"/>
          <w:szCs w:val="28"/>
        </w:rPr>
      </w:pPr>
    </w:p>
    <w:p>
      <w:pPr>
        <w:spacing w:line="360" w:lineRule="auto"/>
        <w:ind w:firstLine="560" w:firstLineChars="200"/>
        <w:rPr>
          <w:rFonts w:asciiTheme="minorEastAsia" w:hAnsiTheme="minorEastAsia" w:cstheme="minorEastAsia"/>
          <w:sz w:val="28"/>
          <w:szCs w:val="28"/>
        </w:rPr>
      </w:pPr>
    </w:p>
    <w:p>
      <w:pPr>
        <w:spacing w:line="360" w:lineRule="auto"/>
        <w:jc w:val="center"/>
        <w:rPr>
          <w:b/>
          <w:bCs/>
          <w:sz w:val="10"/>
          <w:szCs w:val="13"/>
        </w:rPr>
      </w:pPr>
      <w:r>
        <w:rPr>
          <w:rFonts w:hint="eastAsia"/>
          <w:b/>
          <w:bCs/>
          <w:sz w:val="36"/>
          <w:szCs w:val="44"/>
        </w:rPr>
        <w:t>外语系学科竞赛指导教师申请表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297"/>
        <w:gridCol w:w="1668"/>
        <w:gridCol w:w="112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snapToGrid w:val="0"/>
              <w:jc w:val="center"/>
              <w:rPr>
                <w:sz w:val="24"/>
              </w:rPr>
            </w:pPr>
            <w:r>
              <w:rPr>
                <w:rFonts w:hint="eastAsia"/>
                <w:sz w:val="24"/>
              </w:rPr>
              <w:t>姓名</w:t>
            </w:r>
          </w:p>
        </w:tc>
        <w:tc>
          <w:tcPr>
            <w:tcW w:w="1420" w:type="dxa"/>
            <w:vAlign w:val="center"/>
          </w:tcPr>
          <w:p>
            <w:pPr>
              <w:snapToGrid w:val="0"/>
              <w:jc w:val="center"/>
              <w:rPr>
                <w:sz w:val="24"/>
              </w:rPr>
            </w:pPr>
          </w:p>
        </w:tc>
        <w:tc>
          <w:tcPr>
            <w:tcW w:w="1297" w:type="dxa"/>
            <w:vAlign w:val="center"/>
          </w:tcPr>
          <w:p>
            <w:pPr>
              <w:snapToGrid w:val="0"/>
              <w:jc w:val="center"/>
              <w:rPr>
                <w:sz w:val="24"/>
              </w:rPr>
            </w:pPr>
            <w:r>
              <w:rPr>
                <w:rFonts w:hint="eastAsia"/>
                <w:sz w:val="24"/>
              </w:rPr>
              <w:t>教研室</w:t>
            </w:r>
          </w:p>
        </w:tc>
        <w:tc>
          <w:tcPr>
            <w:tcW w:w="1668" w:type="dxa"/>
            <w:vAlign w:val="center"/>
          </w:tcPr>
          <w:p>
            <w:pPr>
              <w:snapToGrid w:val="0"/>
              <w:jc w:val="center"/>
              <w:rPr>
                <w:sz w:val="24"/>
              </w:rPr>
            </w:pPr>
          </w:p>
        </w:tc>
        <w:tc>
          <w:tcPr>
            <w:tcW w:w="1127" w:type="dxa"/>
            <w:vAlign w:val="center"/>
          </w:tcPr>
          <w:p>
            <w:pPr>
              <w:snapToGrid w:val="0"/>
              <w:jc w:val="center"/>
              <w:rPr>
                <w:sz w:val="24"/>
              </w:rPr>
            </w:pPr>
            <w:r>
              <w:rPr>
                <w:rFonts w:hint="eastAsia"/>
                <w:sz w:val="24"/>
              </w:rPr>
              <w:t>职称</w:t>
            </w:r>
          </w:p>
        </w:tc>
        <w:tc>
          <w:tcPr>
            <w:tcW w:w="1590"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snapToGrid w:val="0"/>
              <w:jc w:val="center"/>
              <w:rPr>
                <w:sz w:val="24"/>
              </w:rPr>
            </w:pPr>
            <w:r>
              <w:rPr>
                <w:rFonts w:hint="eastAsia"/>
                <w:sz w:val="24"/>
              </w:rPr>
              <w:t>性别</w:t>
            </w:r>
          </w:p>
        </w:tc>
        <w:tc>
          <w:tcPr>
            <w:tcW w:w="1420" w:type="dxa"/>
            <w:vAlign w:val="center"/>
          </w:tcPr>
          <w:p>
            <w:pPr>
              <w:snapToGrid w:val="0"/>
              <w:jc w:val="center"/>
              <w:rPr>
                <w:sz w:val="24"/>
              </w:rPr>
            </w:pPr>
          </w:p>
        </w:tc>
        <w:tc>
          <w:tcPr>
            <w:tcW w:w="1297" w:type="dxa"/>
            <w:vAlign w:val="center"/>
          </w:tcPr>
          <w:p>
            <w:pPr>
              <w:snapToGrid w:val="0"/>
              <w:jc w:val="center"/>
              <w:rPr>
                <w:sz w:val="24"/>
              </w:rPr>
            </w:pPr>
            <w:r>
              <w:rPr>
                <w:rFonts w:hint="eastAsia"/>
                <w:sz w:val="24"/>
              </w:rPr>
              <w:t>年龄</w:t>
            </w:r>
          </w:p>
        </w:tc>
        <w:tc>
          <w:tcPr>
            <w:tcW w:w="1668" w:type="dxa"/>
            <w:vAlign w:val="center"/>
          </w:tcPr>
          <w:p>
            <w:pPr>
              <w:snapToGrid w:val="0"/>
              <w:jc w:val="center"/>
              <w:rPr>
                <w:sz w:val="24"/>
              </w:rPr>
            </w:pPr>
          </w:p>
        </w:tc>
        <w:tc>
          <w:tcPr>
            <w:tcW w:w="1127" w:type="dxa"/>
            <w:vAlign w:val="center"/>
          </w:tcPr>
          <w:p>
            <w:pPr>
              <w:snapToGrid w:val="0"/>
              <w:jc w:val="center"/>
              <w:rPr>
                <w:sz w:val="24"/>
              </w:rPr>
            </w:pPr>
            <w:r>
              <w:rPr>
                <w:rFonts w:hint="eastAsia"/>
                <w:sz w:val="24"/>
              </w:rPr>
              <w:t>职务</w:t>
            </w:r>
          </w:p>
        </w:tc>
        <w:tc>
          <w:tcPr>
            <w:tcW w:w="1590"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420" w:type="dxa"/>
            <w:vAlign w:val="center"/>
          </w:tcPr>
          <w:p>
            <w:pPr>
              <w:snapToGrid w:val="0"/>
              <w:jc w:val="center"/>
              <w:rPr>
                <w:sz w:val="24"/>
              </w:rPr>
            </w:pPr>
            <w:r>
              <w:rPr>
                <w:rFonts w:hint="eastAsia"/>
                <w:sz w:val="24"/>
              </w:rPr>
              <w:t>申请指导的竞赛项目</w:t>
            </w:r>
          </w:p>
        </w:tc>
        <w:tc>
          <w:tcPr>
            <w:tcW w:w="7102" w:type="dxa"/>
            <w:gridSpan w:val="5"/>
            <w:vAlign w:val="center"/>
          </w:tcPr>
          <w:p>
            <w:pPr>
              <w:tabs>
                <w:tab w:val="left" w:pos="1692"/>
              </w:tabs>
              <w:snapToGrid w:val="0"/>
              <w:rPr>
                <w:sz w:val="24"/>
              </w:rPr>
            </w:pPr>
          </w:p>
          <w:p>
            <w:pPr>
              <w:tabs>
                <w:tab w:val="left" w:pos="1692"/>
              </w:tabs>
              <w:snapToGrid w:val="0"/>
              <w:rPr>
                <w:sz w:val="24"/>
              </w:rPr>
            </w:pPr>
          </w:p>
          <w:p>
            <w:pPr>
              <w:tabs>
                <w:tab w:val="left" w:pos="1692"/>
              </w:tabs>
              <w:snapToGrid w:val="0"/>
              <w:rPr>
                <w:sz w:val="24"/>
              </w:rPr>
            </w:pPr>
          </w:p>
          <w:p>
            <w:pPr>
              <w:tabs>
                <w:tab w:val="left" w:pos="1692"/>
              </w:tabs>
              <w:snapToGrid w:val="0"/>
              <w:rPr>
                <w:sz w:val="24"/>
              </w:rPr>
            </w:pPr>
            <w:r>
              <w:rPr>
                <w:rFonts w:hint="eastAsia"/>
                <w:sz w:val="24"/>
              </w:rPr>
              <w:t>申请人（签字）：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20" w:type="dxa"/>
            <w:vAlign w:val="center"/>
          </w:tcPr>
          <w:p>
            <w:pPr>
              <w:snapToGrid w:val="0"/>
              <w:jc w:val="center"/>
              <w:rPr>
                <w:sz w:val="24"/>
              </w:rPr>
            </w:pPr>
            <w:r>
              <w:rPr>
                <w:rFonts w:hint="eastAsia"/>
                <w:sz w:val="24"/>
              </w:rPr>
              <w:t>近两年该项学科竞赛指导业绩</w:t>
            </w:r>
          </w:p>
        </w:tc>
        <w:tc>
          <w:tcPr>
            <w:tcW w:w="7102" w:type="dxa"/>
            <w:gridSpan w:val="5"/>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20" w:type="dxa"/>
            <w:vAlign w:val="center"/>
          </w:tcPr>
          <w:p>
            <w:pPr>
              <w:snapToGrid w:val="0"/>
              <w:jc w:val="center"/>
              <w:rPr>
                <w:sz w:val="24"/>
              </w:rPr>
            </w:pPr>
            <w:r>
              <w:rPr>
                <w:rFonts w:hint="eastAsia"/>
                <w:sz w:val="24"/>
              </w:rPr>
              <w:t>其它学科竞赛指导业绩（不含近两年）</w:t>
            </w:r>
          </w:p>
        </w:tc>
        <w:tc>
          <w:tcPr>
            <w:tcW w:w="7102" w:type="dxa"/>
            <w:gridSpan w:val="5"/>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20" w:type="dxa"/>
            <w:vAlign w:val="center"/>
          </w:tcPr>
          <w:p>
            <w:pPr>
              <w:snapToGrid w:val="0"/>
              <w:jc w:val="center"/>
              <w:rPr>
                <w:sz w:val="24"/>
              </w:rPr>
            </w:pPr>
            <w:r>
              <w:rPr>
                <w:rFonts w:hint="eastAsia"/>
                <w:sz w:val="24"/>
              </w:rPr>
              <w:t>教师本人参加竞赛及获奖情况</w:t>
            </w:r>
          </w:p>
        </w:tc>
        <w:tc>
          <w:tcPr>
            <w:tcW w:w="7102" w:type="dxa"/>
            <w:gridSpan w:val="5"/>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20" w:type="dxa"/>
            <w:vAlign w:val="center"/>
          </w:tcPr>
          <w:p>
            <w:pPr>
              <w:snapToGrid w:val="0"/>
              <w:jc w:val="center"/>
              <w:rPr>
                <w:sz w:val="24"/>
              </w:rPr>
            </w:pPr>
            <w:r>
              <w:rPr>
                <w:rFonts w:hint="eastAsia"/>
                <w:sz w:val="24"/>
              </w:rPr>
              <w:t>系审核意见</w:t>
            </w:r>
          </w:p>
        </w:tc>
        <w:tc>
          <w:tcPr>
            <w:tcW w:w="7102" w:type="dxa"/>
            <w:gridSpan w:val="5"/>
            <w:vAlign w:val="center"/>
          </w:tcPr>
          <w:p>
            <w:pPr>
              <w:snapToGrid w:val="0"/>
              <w:rPr>
                <w:sz w:val="24"/>
              </w:rPr>
            </w:pPr>
          </w:p>
          <w:p>
            <w:pPr>
              <w:snapToGrid w:val="0"/>
              <w:rPr>
                <w:sz w:val="24"/>
              </w:rPr>
            </w:pPr>
            <w:r>
              <w:rPr>
                <w:rFonts w:hint="eastAsia"/>
                <w:sz w:val="24"/>
              </w:rPr>
              <w:t>同意 □                   不同意 □</w:t>
            </w:r>
          </w:p>
          <w:p>
            <w:pPr>
              <w:snapToGrid w:val="0"/>
              <w:rPr>
                <w:sz w:val="24"/>
              </w:rPr>
            </w:pPr>
          </w:p>
          <w:p>
            <w:pPr>
              <w:snapToGrid w:val="0"/>
              <w:rPr>
                <w:sz w:val="24"/>
              </w:rPr>
            </w:pPr>
            <w:r>
              <w:rPr>
                <w:rFonts w:hint="eastAsia"/>
                <w:sz w:val="24"/>
              </w:rPr>
              <w:t xml:space="preserve">                             主管领导（签字）：       </w:t>
            </w:r>
          </w:p>
          <w:p>
            <w:pPr>
              <w:snapToGrid w:val="0"/>
              <w:ind w:firstLine="4800" w:firstLineChars="2000"/>
              <w:rPr>
                <w:sz w:val="24"/>
              </w:rPr>
            </w:pPr>
            <w:r>
              <w:rPr>
                <w:rFonts w:hint="eastAsia"/>
                <w:sz w:val="24"/>
              </w:rPr>
              <w:t xml:space="preserve"> </w:t>
            </w:r>
          </w:p>
          <w:p>
            <w:pPr>
              <w:snapToGrid w:val="0"/>
              <w:ind w:firstLine="4800" w:firstLineChars="2000"/>
              <w:rPr>
                <w:sz w:val="24"/>
              </w:rPr>
            </w:pPr>
            <w:r>
              <w:rPr>
                <w:rFonts w:hint="eastAsia"/>
                <w:sz w:val="24"/>
              </w:rPr>
              <w:t>年    月    日</w:t>
            </w:r>
          </w:p>
        </w:tc>
      </w:tr>
    </w:tbl>
    <w:p>
      <w:pPr>
        <w:spacing w:line="360" w:lineRule="auto"/>
        <w:rPr>
          <w:rFonts w:asciiTheme="minorEastAsia" w:hAnsi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47200"/>
    <w:rsid w:val="0006693D"/>
    <w:rsid w:val="000D70D9"/>
    <w:rsid w:val="004C37D7"/>
    <w:rsid w:val="004D3AD1"/>
    <w:rsid w:val="00842E56"/>
    <w:rsid w:val="009D32A6"/>
    <w:rsid w:val="00C70B65"/>
    <w:rsid w:val="00D0687D"/>
    <w:rsid w:val="00FE6F11"/>
    <w:rsid w:val="08AF0C75"/>
    <w:rsid w:val="0ED63E94"/>
    <w:rsid w:val="11CF56B6"/>
    <w:rsid w:val="1524659D"/>
    <w:rsid w:val="18F0432D"/>
    <w:rsid w:val="19511009"/>
    <w:rsid w:val="1B2034D3"/>
    <w:rsid w:val="27647200"/>
    <w:rsid w:val="294F7255"/>
    <w:rsid w:val="2DCD1F0E"/>
    <w:rsid w:val="3AA168B7"/>
    <w:rsid w:val="45332585"/>
    <w:rsid w:val="48C23DFB"/>
    <w:rsid w:val="493F51FA"/>
    <w:rsid w:val="4A5C2232"/>
    <w:rsid w:val="4E4B39BD"/>
    <w:rsid w:val="51494205"/>
    <w:rsid w:val="5448424A"/>
    <w:rsid w:val="546B223E"/>
    <w:rsid w:val="578948BD"/>
    <w:rsid w:val="5AE42FA4"/>
    <w:rsid w:val="5D3370E2"/>
    <w:rsid w:val="5DC42053"/>
    <w:rsid w:val="69092EFA"/>
    <w:rsid w:val="6BCA300E"/>
    <w:rsid w:val="6EE0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182</Words>
  <Characters>1040</Characters>
  <Lines>8</Lines>
  <Paragraphs>2</Paragraphs>
  <TotalTime>3</TotalTime>
  <ScaleCrop>false</ScaleCrop>
  <LinksUpToDate>false</LinksUpToDate>
  <CharactersWithSpaces>1220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2019-12-06T06:53:00Z</dcterms:created>
  <dc:creator>花生绵绵冰</dc:creator>
  <cp:lastModifiedBy>黄海斌</cp:lastModifiedBy>
  <dcterms:modified xsi:type="dcterms:W3CDTF">2020-11-24T08:39:54Z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