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FB1F" w14:textId="77777777" w:rsidR="00FE5376" w:rsidRDefault="00000000">
      <w:pPr>
        <w:widowControl/>
        <w:spacing w:before="120" w:after="40" w:line="360" w:lineRule="auto"/>
        <w:jc w:val="center"/>
        <w:rPr>
          <w:rFonts w:ascii="黑体" w:eastAsia="黑体" w:hAnsi="黑体" w:cs="黑体" w:hint="eastAsia"/>
          <w:b/>
          <w:sz w:val="32"/>
          <w:szCs w:val="32"/>
        </w:rPr>
      </w:pPr>
      <w:r>
        <w:rPr>
          <w:rFonts w:ascii="黑体" w:eastAsia="黑体" w:hAnsi="黑体" w:cs="黑体" w:hint="eastAsia"/>
          <w:b/>
          <w:sz w:val="32"/>
          <w:szCs w:val="32"/>
        </w:rPr>
        <w:t>西北农林科技大学硕士研究生招生考试</w:t>
      </w:r>
    </w:p>
    <w:p w14:paraId="2C8D4087" w14:textId="77777777" w:rsidR="00FE5376" w:rsidRDefault="00000000">
      <w:pPr>
        <w:widowControl/>
        <w:spacing w:before="80" w:after="200" w:line="360" w:lineRule="auto"/>
        <w:jc w:val="center"/>
        <w:rPr>
          <w:rFonts w:ascii="Times New Roman" w:eastAsia="黑体" w:hAnsi="Times New Roman" w:cs="黑体"/>
          <w:b/>
          <w:kern w:val="0"/>
          <w:sz w:val="32"/>
          <w:szCs w:val="32"/>
        </w:rPr>
      </w:pPr>
      <w:r>
        <w:rPr>
          <w:rFonts w:ascii="Times New Roman" w:eastAsia="黑体" w:hAnsi="Times New Roman" w:cs="黑体" w:hint="eastAsia"/>
          <w:b/>
          <w:kern w:val="0"/>
          <w:sz w:val="32"/>
          <w:szCs w:val="32"/>
        </w:rPr>
        <w:t>《区域国别综合》考试大纲（</w:t>
      </w:r>
      <w:r>
        <w:rPr>
          <w:rFonts w:ascii="Times New Roman" w:eastAsia="黑体" w:hAnsi="Times New Roman" w:cs="黑体" w:hint="eastAsia"/>
          <w:b/>
          <w:kern w:val="0"/>
          <w:sz w:val="32"/>
          <w:szCs w:val="32"/>
        </w:rPr>
        <w:t>2027</w:t>
      </w:r>
      <w:r>
        <w:rPr>
          <w:rFonts w:ascii="Times New Roman" w:eastAsia="黑体" w:hAnsi="Times New Roman" w:cs="黑体" w:hint="eastAsia"/>
          <w:b/>
          <w:kern w:val="0"/>
          <w:sz w:val="32"/>
          <w:szCs w:val="32"/>
        </w:rPr>
        <w:t>版）</w:t>
      </w:r>
    </w:p>
    <w:p w14:paraId="0D5B7839" w14:textId="77777777" w:rsidR="00FE5376" w:rsidRDefault="00000000">
      <w:pPr>
        <w:widowControl/>
        <w:spacing w:before="160" w:after="80" w:line="360" w:lineRule="auto"/>
        <w:rPr>
          <w:rFonts w:ascii="Times New Roman" w:eastAsia="黑体" w:hAnsi="Times New Roman"/>
          <w:b/>
          <w:kern w:val="0"/>
          <w:sz w:val="28"/>
          <w:szCs w:val="28"/>
        </w:rPr>
      </w:pPr>
      <w:r>
        <w:rPr>
          <w:rFonts w:ascii="Times New Roman" w:eastAsia="黑体" w:hAnsi="Times New Roman"/>
          <w:b/>
          <w:kern w:val="0"/>
          <w:sz w:val="28"/>
          <w:szCs w:val="28"/>
        </w:rPr>
        <w:t>一、考试性质</w:t>
      </w:r>
    </w:p>
    <w:p w14:paraId="078A45BB" w14:textId="04B27CEA" w:rsidR="00FE5376" w:rsidRDefault="00000000">
      <w:pPr>
        <w:widowControl/>
        <w:spacing w:after="60" w:line="360" w:lineRule="auto"/>
        <w:ind w:firstLineChars="200" w:firstLine="480"/>
        <w:rPr>
          <w:rFonts w:ascii="Times New Roman" w:eastAsia="宋体" w:hAnsi="Times New Roman"/>
          <w:kern w:val="0"/>
          <w:sz w:val="24"/>
          <w:szCs w:val="24"/>
        </w:rPr>
      </w:pPr>
      <w:r>
        <w:rPr>
          <w:rFonts w:ascii="Times New Roman" w:eastAsia="宋体" w:hAnsi="Times New Roman" w:hint="eastAsia"/>
          <w:kern w:val="0"/>
          <w:sz w:val="24"/>
          <w:szCs w:val="24"/>
        </w:rPr>
        <w:t>《区域国别综合》</w:t>
      </w:r>
      <w:r>
        <w:rPr>
          <w:rFonts w:ascii="Times New Roman" w:eastAsia="宋体" w:hAnsi="Times New Roman" w:hint="eastAsia"/>
          <w:sz w:val="24"/>
          <w:szCs w:val="24"/>
        </w:rPr>
        <w:t>（科目代码：</w:t>
      </w:r>
      <w:r>
        <w:rPr>
          <w:rFonts w:ascii="Times New Roman" w:eastAsia="宋体" w:hAnsi="Times New Roman" w:hint="eastAsia"/>
          <w:sz w:val="24"/>
          <w:szCs w:val="24"/>
        </w:rPr>
        <w:t>832</w:t>
      </w:r>
      <w:r>
        <w:rPr>
          <w:rFonts w:ascii="Times New Roman" w:eastAsia="宋体" w:hAnsi="Times New Roman" w:hint="eastAsia"/>
          <w:sz w:val="24"/>
          <w:szCs w:val="24"/>
        </w:rPr>
        <w:t>）</w:t>
      </w:r>
      <w:r>
        <w:rPr>
          <w:rFonts w:ascii="Times New Roman" w:eastAsia="宋体" w:hAnsi="Times New Roman" w:hint="eastAsia"/>
          <w:kern w:val="0"/>
          <w:sz w:val="24"/>
          <w:szCs w:val="24"/>
        </w:rPr>
        <w:t>是西北农林科技大学区域国别学</w:t>
      </w:r>
      <w:r w:rsidR="00547660">
        <w:rPr>
          <w:rFonts w:ascii="Times New Roman" w:eastAsia="宋体" w:hAnsi="Times New Roman" w:hint="eastAsia"/>
          <w:kern w:val="0"/>
          <w:sz w:val="24"/>
          <w:szCs w:val="24"/>
        </w:rPr>
        <w:t>学术学位</w:t>
      </w:r>
      <w:r>
        <w:rPr>
          <w:rFonts w:ascii="Times New Roman" w:eastAsia="宋体" w:hAnsi="Times New Roman" w:hint="eastAsia"/>
          <w:kern w:val="0"/>
          <w:sz w:val="24"/>
          <w:szCs w:val="24"/>
        </w:rPr>
        <w:t>硕士研究生招生入学考试的专业综合课考试科目。本考试旨在考查考生对区域国别学跨学科研究理论与方法的系统掌握，</w:t>
      </w:r>
      <w:r w:rsidR="007274B2" w:rsidRPr="007274B2">
        <w:rPr>
          <w:rFonts w:ascii="Times New Roman" w:eastAsia="宋体" w:hAnsi="Times New Roman"/>
          <w:kern w:val="0"/>
          <w:sz w:val="24"/>
          <w:szCs w:val="24"/>
        </w:rPr>
        <w:t>以及对上海合作组织框架下相关国家、特别是中亚地区国家的</w:t>
      </w:r>
      <w:r>
        <w:rPr>
          <w:rFonts w:ascii="Times New Roman" w:eastAsia="宋体" w:hAnsi="Times New Roman" w:hint="eastAsia"/>
          <w:kern w:val="0"/>
          <w:sz w:val="24"/>
          <w:szCs w:val="24"/>
        </w:rPr>
        <w:t>政治、安全、治理、对外关系等领域知识的深入理解与综合分析能力。重点考查考生是否具备运用多学科理论与方法从事区域国别研究所需的专业知识基础、跨学科视野与综合分析能力。</w:t>
      </w:r>
    </w:p>
    <w:p w14:paraId="1539F956" w14:textId="77777777" w:rsidR="00FE5376" w:rsidRDefault="00000000">
      <w:pPr>
        <w:widowControl/>
        <w:spacing w:before="160" w:after="80" w:line="360" w:lineRule="auto"/>
        <w:rPr>
          <w:rFonts w:ascii="Times New Roman" w:eastAsia="黑体" w:hAnsi="Times New Roman"/>
          <w:b/>
          <w:kern w:val="0"/>
          <w:sz w:val="28"/>
          <w:szCs w:val="28"/>
        </w:rPr>
      </w:pPr>
      <w:r>
        <w:rPr>
          <w:rFonts w:ascii="Times New Roman" w:eastAsia="黑体" w:hAnsi="Times New Roman"/>
          <w:b/>
          <w:kern w:val="0"/>
          <w:sz w:val="28"/>
          <w:szCs w:val="28"/>
        </w:rPr>
        <w:t>二、考查目标</w:t>
      </w:r>
    </w:p>
    <w:p w14:paraId="565F22F5" w14:textId="553EE16A" w:rsidR="00FE5376" w:rsidRDefault="00000000">
      <w:pPr>
        <w:widowControl/>
        <w:spacing w:after="60" w:line="360" w:lineRule="auto"/>
        <w:ind w:firstLineChars="200" w:firstLine="480"/>
        <w:rPr>
          <w:rFonts w:ascii="Times New Roman" w:eastAsia="宋体" w:hAnsi="Times New Roman" w:cs="宋体"/>
          <w:kern w:val="0"/>
          <w:sz w:val="24"/>
          <w:szCs w:val="24"/>
        </w:rPr>
      </w:pPr>
      <w:r>
        <w:rPr>
          <w:rFonts w:ascii="Times New Roman" w:eastAsia="宋体" w:hAnsi="Times New Roman" w:cs="宋体" w:hint="eastAsia"/>
          <w:kern w:val="0"/>
          <w:sz w:val="24"/>
          <w:szCs w:val="24"/>
        </w:rPr>
        <w:t>（一）</w:t>
      </w:r>
      <w:r w:rsidR="00594769" w:rsidRPr="00594769">
        <w:rPr>
          <w:rFonts w:ascii="Times New Roman" w:eastAsia="宋体" w:hAnsi="Times New Roman" w:cs="宋体"/>
          <w:kern w:val="0"/>
          <w:sz w:val="24"/>
          <w:szCs w:val="24"/>
        </w:rPr>
        <w:t>掌握区域国别研究的核心议题与主要领域，熟悉跨学科理论、方法及资料分析工具；理解政治学、经济学、历史学、人类学、地理学等学科视角在区域国别研究中的解释逻辑；了解全球区域研究前沿与中国区域国别研究实践，形成跨学科知识基础和国际比较视野</w:t>
      </w:r>
      <w:r w:rsidR="00BD4297">
        <w:rPr>
          <w:rFonts w:ascii="Times New Roman" w:eastAsia="宋体" w:hAnsi="Times New Roman" w:cs="宋体" w:hint="eastAsia"/>
          <w:kern w:val="0"/>
          <w:sz w:val="24"/>
          <w:szCs w:val="24"/>
        </w:rPr>
        <w:t>。</w:t>
      </w:r>
    </w:p>
    <w:p w14:paraId="42FDAFB7" w14:textId="1157481E" w:rsidR="00FE5376" w:rsidRDefault="00000000">
      <w:pPr>
        <w:widowControl/>
        <w:spacing w:after="60" w:line="360" w:lineRule="auto"/>
        <w:ind w:firstLineChars="200" w:firstLine="480"/>
        <w:rPr>
          <w:rFonts w:ascii="Times New Roman" w:eastAsia="宋体" w:hAnsi="Times New Roman" w:cs="宋体"/>
          <w:kern w:val="0"/>
          <w:sz w:val="24"/>
        </w:rPr>
      </w:pPr>
      <w:r>
        <w:rPr>
          <w:rFonts w:ascii="Times New Roman" w:eastAsia="宋体" w:hAnsi="Times New Roman" w:cs="宋体" w:hint="eastAsia"/>
          <w:kern w:val="0"/>
          <w:sz w:val="24"/>
          <w:szCs w:val="24"/>
        </w:rPr>
        <w:t>（二）</w:t>
      </w:r>
      <w:r w:rsidR="00594769" w:rsidRPr="00594769">
        <w:rPr>
          <w:rFonts w:ascii="Times New Roman" w:eastAsia="宋体" w:hAnsi="Times New Roman" w:cs="宋体"/>
          <w:kern w:val="0"/>
          <w:sz w:val="24"/>
          <w:szCs w:val="24"/>
        </w:rPr>
        <w:t>系统掌握中亚五国的基本国情、历史脉络、政治转型与经济发展模式；理解中亚地区的地缘战略地位及其在国际体系中的定位与影响；熟悉中亚地区的大国博弈态势、区域合作机制、安全治理挑战及中国与中亚国家关系的基本脉络</w:t>
      </w:r>
      <w:r>
        <w:rPr>
          <w:rFonts w:ascii="Times New Roman" w:eastAsia="宋体" w:hAnsi="Times New Roman" w:cs="宋体" w:hint="eastAsia"/>
          <w:kern w:val="0"/>
          <w:sz w:val="24"/>
          <w:szCs w:val="24"/>
        </w:rPr>
        <w:t>。</w:t>
      </w:r>
    </w:p>
    <w:p w14:paraId="6826193F" w14:textId="750FA8A9" w:rsidR="00FE5376" w:rsidRDefault="00000000">
      <w:pPr>
        <w:widowControl/>
        <w:spacing w:after="60" w:line="360" w:lineRule="auto"/>
        <w:ind w:firstLineChars="200" w:firstLine="480"/>
        <w:jc w:val="left"/>
        <w:rPr>
          <w:rFonts w:ascii="Times New Roman" w:eastAsia="宋体" w:hAnsi="Times New Roman" w:cs="宋体"/>
          <w:kern w:val="0"/>
          <w:sz w:val="24"/>
        </w:rPr>
      </w:pPr>
      <w:r>
        <w:rPr>
          <w:rFonts w:ascii="Times New Roman" w:eastAsia="宋体" w:hAnsi="Times New Roman" w:cs="宋体" w:hint="eastAsia"/>
          <w:kern w:val="0"/>
          <w:sz w:val="24"/>
        </w:rPr>
        <w:t>（三）</w:t>
      </w:r>
      <w:r w:rsidR="00594769" w:rsidRPr="00594769">
        <w:rPr>
          <w:rFonts w:ascii="Times New Roman" w:eastAsia="宋体" w:hAnsi="Times New Roman" w:cs="宋体"/>
          <w:kern w:val="0"/>
          <w:sz w:val="24"/>
        </w:rPr>
        <w:t>理解不同学科研究方法在区域国别研究中的适用条件、应用场景与实践路径；能够针对中亚地区政治、经济、社会、安全、文化等具体问题选择恰当分析工具；具备将多学科视角整合运用于区域研究、开展资料收集与实证分析的基本能力</w:t>
      </w:r>
      <w:r>
        <w:rPr>
          <w:rFonts w:ascii="Times New Roman" w:eastAsia="宋体" w:hAnsi="Times New Roman" w:cs="宋体" w:hint="eastAsia"/>
          <w:kern w:val="0"/>
          <w:sz w:val="24"/>
        </w:rPr>
        <w:t>。</w:t>
      </w:r>
    </w:p>
    <w:p w14:paraId="21BC5C42" w14:textId="5DC069CD" w:rsidR="00FE5376" w:rsidRDefault="00000000">
      <w:pPr>
        <w:widowControl/>
        <w:spacing w:after="60" w:line="360" w:lineRule="auto"/>
        <w:ind w:firstLineChars="200" w:firstLine="480"/>
        <w:jc w:val="left"/>
        <w:rPr>
          <w:rFonts w:ascii="Times New Roman" w:eastAsia="宋体" w:hAnsi="Times New Roman" w:cs="宋体"/>
          <w:kern w:val="0"/>
          <w:sz w:val="24"/>
        </w:rPr>
      </w:pPr>
      <w:r>
        <w:rPr>
          <w:rFonts w:ascii="Times New Roman" w:eastAsia="宋体" w:hAnsi="Times New Roman" w:cs="宋体" w:hint="eastAsia"/>
          <w:kern w:val="0"/>
          <w:sz w:val="24"/>
        </w:rPr>
        <w:t>（四）</w:t>
      </w:r>
      <w:r w:rsidR="00594769" w:rsidRPr="00594769">
        <w:rPr>
          <w:rFonts w:ascii="Times New Roman" w:eastAsia="宋体" w:hAnsi="Times New Roman" w:cs="宋体"/>
          <w:kern w:val="0"/>
          <w:sz w:val="24"/>
        </w:rPr>
        <w:t>能够综合运用区域国别学理论与方法，结合理论与现实、历史与现状、内部与外部等多维视角，对中亚政治安全、治理机制、区域秩序、中国与中亚国家关系及上海合作组织合作动态等重大议题进行深入分析；关注区域国别学学科发展前沿，形成独立的研究判断、问题意识和学术表达能力</w:t>
      </w:r>
      <w:r>
        <w:rPr>
          <w:rFonts w:ascii="Times New Roman" w:eastAsia="宋体" w:hAnsi="Times New Roman" w:cs="宋体" w:hint="eastAsia"/>
          <w:kern w:val="0"/>
          <w:sz w:val="24"/>
        </w:rPr>
        <w:t>。</w:t>
      </w:r>
    </w:p>
    <w:p w14:paraId="63074279" w14:textId="77777777" w:rsidR="00FE5376" w:rsidRDefault="00000000">
      <w:pPr>
        <w:widowControl/>
        <w:spacing w:before="160" w:after="80" w:line="360" w:lineRule="auto"/>
        <w:rPr>
          <w:rFonts w:ascii="Times New Roman" w:eastAsia="黑体" w:hAnsi="Times New Roman"/>
          <w:b/>
          <w:kern w:val="0"/>
          <w:sz w:val="28"/>
          <w:szCs w:val="28"/>
        </w:rPr>
      </w:pPr>
      <w:r>
        <w:rPr>
          <w:rFonts w:ascii="Times New Roman" w:eastAsia="黑体" w:hAnsi="Times New Roman"/>
          <w:b/>
          <w:kern w:val="0"/>
          <w:sz w:val="28"/>
          <w:szCs w:val="28"/>
        </w:rPr>
        <w:t>三、考试形式与试卷结构</w:t>
      </w:r>
    </w:p>
    <w:p w14:paraId="514F4EE3" w14:textId="77777777" w:rsidR="00FE5376" w:rsidRDefault="00000000">
      <w:pPr>
        <w:widowControl/>
        <w:spacing w:before="80" w:after="40" w:line="360" w:lineRule="auto"/>
        <w:rPr>
          <w:rFonts w:ascii="Times New Roman" w:eastAsia="楷体" w:hAnsi="Times New Roman"/>
          <w:b/>
          <w:kern w:val="0"/>
          <w:sz w:val="24"/>
          <w:szCs w:val="24"/>
        </w:rPr>
      </w:pPr>
      <w:r>
        <w:rPr>
          <w:rFonts w:ascii="Times New Roman" w:eastAsia="楷体" w:hAnsi="Times New Roman"/>
          <w:b/>
          <w:kern w:val="0"/>
          <w:sz w:val="24"/>
          <w:szCs w:val="24"/>
        </w:rPr>
        <w:lastRenderedPageBreak/>
        <w:t>（一）试卷成绩及考试时间</w:t>
      </w:r>
    </w:p>
    <w:p w14:paraId="6A513BA9" w14:textId="77777777" w:rsidR="00FE5376" w:rsidRDefault="00000000">
      <w:pPr>
        <w:widowControl/>
        <w:spacing w:before="80" w:after="40" w:line="360" w:lineRule="auto"/>
        <w:ind w:firstLineChars="200" w:firstLine="480"/>
        <w:rPr>
          <w:rFonts w:ascii="Times New Roman" w:eastAsia="宋体" w:hAnsi="Times New Roman" w:cs="宋体"/>
          <w:kern w:val="0"/>
          <w:sz w:val="24"/>
          <w:szCs w:val="24"/>
        </w:rPr>
      </w:pPr>
      <w:r>
        <w:rPr>
          <w:rFonts w:ascii="Times New Roman" w:eastAsia="宋体" w:hAnsi="Times New Roman" w:cs="宋体" w:hint="eastAsia"/>
          <w:kern w:val="0"/>
          <w:sz w:val="24"/>
          <w:szCs w:val="24"/>
        </w:rPr>
        <w:t>本试卷满分为</w:t>
      </w:r>
      <w:r>
        <w:rPr>
          <w:rFonts w:ascii="Times New Roman" w:eastAsia="宋体" w:hAnsi="Times New Roman" w:cs="宋体" w:hint="eastAsia"/>
          <w:kern w:val="0"/>
          <w:sz w:val="24"/>
          <w:szCs w:val="24"/>
        </w:rPr>
        <w:t>150</w:t>
      </w:r>
      <w:r>
        <w:rPr>
          <w:rFonts w:ascii="Times New Roman" w:eastAsia="宋体" w:hAnsi="Times New Roman" w:cs="宋体" w:hint="eastAsia"/>
          <w:kern w:val="0"/>
          <w:sz w:val="24"/>
          <w:szCs w:val="24"/>
        </w:rPr>
        <w:t>分，考试时间为</w:t>
      </w:r>
      <w:r>
        <w:rPr>
          <w:rFonts w:ascii="Times New Roman" w:eastAsia="宋体" w:hAnsi="Times New Roman" w:cs="宋体" w:hint="eastAsia"/>
          <w:kern w:val="0"/>
          <w:sz w:val="24"/>
          <w:szCs w:val="24"/>
        </w:rPr>
        <w:t>180</w:t>
      </w:r>
      <w:r>
        <w:rPr>
          <w:rFonts w:ascii="Times New Roman" w:eastAsia="宋体" w:hAnsi="Times New Roman" w:cs="宋体" w:hint="eastAsia"/>
          <w:kern w:val="0"/>
          <w:sz w:val="24"/>
          <w:szCs w:val="24"/>
        </w:rPr>
        <w:t>分钟。</w:t>
      </w:r>
    </w:p>
    <w:p w14:paraId="1B1CE578" w14:textId="77777777" w:rsidR="00FE5376" w:rsidRDefault="00000000">
      <w:pPr>
        <w:widowControl/>
        <w:spacing w:before="80" w:after="40" w:line="360" w:lineRule="auto"/>
        <w:rPr>
          <w:rFonts w:ascii="Times New Roman" w:eastAsia="楷体" w:hAnsi="Times New Roman"/>
          <w:b/>
          <w:kern w:val="0"/>
          <w:sz w:val="24"/>
          <w:szCs w:val="24"/>
        </w:rPr>
      </w:pPr>
      <w:r>
        <w:rPr>
          <w:rFonts w:ascii="Times New Roman" w:eastAsia="楷体" w:hAnsi="Times New Roman"/>
          <w:b/>
          <w:kern w:val="0"/>
          <w:sz w:val="24"/>
          <w:szCs w:val="24"/>
        </w:rPr>
        <w:t>（二）答题方式</w:t>
      </w:r>
    </w:p>
    <w:p w14:paraId="40416F96" w14:textId="77777777" w:rsidR="00FE5376" w:rsidRDefault="00000000">
      <w:pPr>
        <w:widowControl/>
        <w:spacing w:after="60" w:line="360" w:lineRule="auto"/>
        <w:ind w:firstLineChars="200" w:firstLine="480"/>
        <w:jc w:val="left"/>
        <w:rPr>
          <w:rFonts w:ascii="Times New Roman" w:eastAsia="MS Mincho" w:hAnsi="Times New Roman" w:cs="Times New Roman"/>
          <w:kern w:val="0"/>
          <w:sz w:val="24"/>
          <w:szCs w:val="24"/>
        </w:rPr>
      </w:pPr>
      <w:r>
        <w:rPr>
          <w:rFonts w:ascii="Times New Roman" w:eastAsia="宋体" w:hAnsi="Times New Roman" w:cs="宋体" w:hint="eastAsia"/>
          <w:kern w:val="0"/>
          <w:sz w:val="24"/>
          <w:szCs w:val="24"/>
        </w:rPr>
        <w:t>答题方式为闭卷、笔试。</w:t>
      </w:r>
    </w:p>
    <w:p w14:paraId="14BA8613" w14:textId="77777777" w:rsidR="00FE5376" w:rsidRDefault="00000000">
      <w:pPr>
        <w:widowControl/>
        <w:spacing w:before="80" w:after="40" w:line="360" w:lineRule="auto"/>
        <w:rPr>
          <w:rFonts w:ascii="Times New Roman" w:eastAsia="楷体" w:hAnsi="Times New Roman"/>
          <w:b/>
          <w:kern w:val="0"/>
          <w:sz w:val="24"/>
          <w:szCs w:val="24"/>
          <w:lang w:eastAsia="en-US"/>
        </w:rPr>
      </w:pPr>
      <w:r>
        <w:rPr>
          <w:rFonts w:ascii="Times New Roman" w:eastAsia="楷体" w:hAnsi="Times New Roman"/>
          <w:b/>
          <w:kern w:val="0"/>
          <w:sz w:val="24"/>
          <w:szCs w:val="24"/>
          <w:lang w:eastAsia="en-US"/>
        </w:rPr>
        <w:t>（</w:t>
      </w:r>
      <w:proofErr w:type="spellStart"/>
      <w:r>
        <w:rPr>
          <w:rFonts w:ascii="Times New Roman" w:eastAsia="楷体" w:hAnsi="Times New Roman"/>
          <w:b/>
          <w:kern w:val="0"/>
          <w:sz w:val="24"/>
          <w:szCs w:val="24"/>
          <w:lang w:eastAsia="en-US"/>
        </w:rPr>
        <w:t>三）试卷题型结构</w:t>
      </w:r>
      <w:proofErr w:type="spellEnd"/>
    </w:p>
    <w:tbl>
      <w:tblPr>
        <w:tblStyle w:val="1"/>
        <w:tblW w:w="0" w:type="auto"/>
        <w:tblLook w:val="04A0" w:firstRow="1" w:lastRow="0" w:firstColumn="1" w:lastColumn="0" w:noHBand="0" w:noVBand="1"/>
      </w:tblPr>
      <w:tblGrid>
        <w:gridCol w:w="2073"/>
        <w:gridCol w:w="2072"/>
        <w:gridCol w:w="2072"/>
        <w:gridCol w:w="2079"/>
      </w:tblGrid>
      <w:tr w:rsidR="00FE5376" w14:paraId="069F6BC4" w14:textId="77777777">
        <w:tc>
          <w:tcPr>
            <w:tcW w:w="2158" w:type="dxa"/>
          </w:tcPr>
          <w:p w14:paraId="5AB38DDF"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proofErr w:type="spellStart"/>
            <w:r>
              <w:rPr>
                <w:rFonts w:ascii="Times New Roman" w:eastAsia="宋体" w:hAnsi="Times New Roman" w:cs="宋体" w:hint="eastAsia"/>
                <w:b/>
                <w:kern w:val="0"/>
                <w:szCs w:val="21"/>
                <w:lang w:eastAsia="en-US"/>
              </w:rPr>
              <w:t>题型</w:t>
            </w:r>
            <w:proofErr w:type="spellEnd"/>
          </w:p>
        </w:tc>
        <w:tc>
          <w:tcPr>
            <w:tcW w:w="2158" w:type="dxa"/>
          </w:tcPr>
          <w:p w14:paraId="3FE6217C"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proofErr w:type="spellStart"/>
            <w:r>
              <w:rPr>
                <w:rFonts w:ascii="Times New Roman" w:eastAsia="宋体" w:hAnsi="Times New Roman" w:cs="宋体" w:hint="eastAsia"/>
                <w:b/>
                <w:kern w:val="0"/>
                <w:szCs w:val="21"/>
                <w:lang w:eastAsia="en-US"/>
              </w:rPr>
              <w:t>题量</w:t>
            </w:r>
            <w:proofErr w:type="spellEnd"/>
          </w:p>
        </w:tc>
        <w:tc>
          <w:tcPr>
            <w:tcW w:w="2158" w:type="dxa"/>
          </w:tcPr>
          <w:p w14:paraId="324F5C17"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proofErr w:type="spellStart"/>
            <w:r>
              <w:rPr>
                <w:rFonts w:ascii="Times New Roman" w:eastAsia="宋体" w:hAnsi="Times New Roman" w:cs="宋体" w:hint="eastAsia"/>
                <w:b/>
                <w:kern w:val="0"/>
                <w:szCs w:val="21"/>
                <w:lang w:eastAsia="en-US"/>
              </w:rPr>
              <w:t>单题分值</w:t>
            </w:r>
            <w:proofErr w:type="spellEnd"/>
          </w:p>
        </w:tc>
        <w:tc>
          <w:tcPr>
            <w:tcW w:w="2158" w:type="dxa"/>
          </w:tcPr>
          <w:p w14:paraId="6799ABDB"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proofErr w:type="spellStart"/>
            <w:r>
              <w:rPr>
                <w:rFonts w:ascii="Times New Roman" w:eastAsia="宋体" w:hAnsi="Times New Roman" w:cs="宋体" w:hint="eastAsia"/>
                <w:b/>
                <w:kern w:val="0"/>
                <w:szCs w:val="21"/>
                <w:lang w:eastAsia="en-US"/>
              </w:rPr>
              <w:t>合计分值</w:t>
            </w:r>
            <w:proofErr w:type="spellEnd"/>
          </w:p>
        </w:tc>
      </w:tr>
      <w:tr w:rsidR="00FE5376" w14:paraId="76732606" w14:textId="77777777">
        <w:tc>
          <w:tcPr>
            <w:tcW w:w="2158" w:type="dxa"/>
          </w:tcPr>
          <w:p w14:paraId="2BEE72DF"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proofErr w:type="spellStart"/>
            <w:r>
              <w:rPr>
                <w:rFonts w:ascii="Times New Roman" w:eastAsia="宋体" w:hAnsi="Times New Roman" w:cs="宋体" w:hint="eastAsia"/>
                <w:kern w:val="0"/>
                <w:szCs w:val="21"/>
                <w:lang w:eastAsia="en-US"/>
              </w:rPr>
              <w:t>名词解释</w:t>
            </w:r>
            <w:proofErr w:type="spellEnd"/>
          </w:p>
        </w:tc>
        <w:tc>
          <w:tcPr>
            <w:tcW w:w="2158" w:type="dxa"/>
          </w:tcPr>
          <w:p w14:paraId="55022DD9"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5</w:t>
            </w:r>
            <w:r>
              <w:rPr>
                <w:rFonts w:ascii="Times New Roman" w:eastAsia="宋体" w:hAnsi="Times New Roman" w:cs="宋体" w:hint="eastAsia"/>
                <w:kern w:val="0"/>
                <w:szCs w:val="21"/>
                <w:lang w:eastAsia="en-US"/>
              </w:rPr>
              <w:t>题</w:t>
            </w:r>
          </w:p>
        </w:tc>
        <w:tc>
          <w:tcPr>
            <w:tcW w:w="2158" w:type="dxa"/>
          </w:tcPr>
          <w:p w14:paraId="11CAA061"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8</w:t>
            </w:r>
            <w:r>
              <w:rPr>
                <w:rFonts w:ascii="Times New Roman" w:eastAsia="宋体" w:hAnsi="Times New Roman" w:cs="宋体" w:hint="eastAsia"/>
                <w:kern w:val="0"/>
                <w:szCs w:val="21"/>
                <w:lang w:eastAsia="en-US"/>
              </w:rPr>
              <w:t>分</w:t>
            </w:r>
          </w:p>
        </w:tc>
        <w:tc>
          <w:tcPr>
            <w:tcW w:w="2158" w:type="dxa"/>
          </w:tcPr>
          <w:p w14:paraId="2E1CA08C"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40</w:t>
            </w:r>
            <w:r>
              <w:rPr>
                <w:rFonts w:ascii="Times New Roman" w:eastAsia="宋体" w:hAnsi="Times New Roman" w:cs="宋体" w:hint="eastAsia"/>
                <w:kern w:val="0"/>
                <w:szCs w:val="21"/>
                <w:lang w:eastAsia="en-US"/>
              </w:rPr>
              <w:t>分</w:t>
            </w:r>
          </w:p>
        </w:tc>
      </w:tr>
      <w:tr w:rsidR="00FE5376" w14:paraId="20BF3755" w14:textId="77777777">
        <w:tc>
          <w:tcPr>
            <w:tcW w:w="2158" w:type="dxa"/>
          </w:tcPr>
          <w:p w14:paraId="0653FA5E"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proofErr w:type="spellStart"/>
            <w:r>
              <w:rPr>
                <w:rFonts w:ascii="Times New Roman" w:eastAsia="宋体" w:hAnsi="Times New Roman" w:cs="宋体" w:hint="eastAsia"/>
                <w:kern w:val="0"/>
                <w:szCs w:val="21"/>
                <w:lang w:eastAsia="en-US"/>
              </w:rPr>
              <w:t>简答题</w:t>
            </w:r>
            <w:proofErr w:type="spellEnd"/>
          </w:p>
        </w:tc>
        <w:tc>
          <w:tcPr>
            <w:tcW w:w="2158" w:type="dxa"/>
          </w:tcPr>
          <w:p w14:paraId="69A3EF23"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4</w:t>
            </w:r>
            <w:r>
              <w:rPr>
                <w:rFonts w:ascii="Times New Roman" w:eastAsia="宋体" w:hAnsi="Times New Roman" w:cs="宋体" w:hint="eastAsia"/>
                <w:kern w:val="0"/>
                <w:szCs w:val="21"/>
                <w:lang w:eastAsia="en-US"/>
              </w:rPr>
              <w:t>题</w:t>
            </w:r>
          </w:p>
        </w:tc>
        <w:tc>
          <w:tcPr>
            <w:tcW w:w="2158" w:type="dxa"/>
          </w:tcPr>
          <w:p w14:paraId="6AA2C41B"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15</w:t>
            </w:r>
            <w:r>
              <w:rPr>
                <w:rFonts w:ascii="Times New Roman" w:eastAsia="宋体" w:hAnsi="Times New Roman" w:cs="宋体" w:hint="eastAsia"/>
                <w:kern w:val="0"/>
                <w:szCs w:val="21"/>
                <w:lang w:eastAsia="en-US"/>
              </w:rPr>
              <w:t>分</w:t>
            </w:r>
          </w:p>
        </w:tc>
        <w:tc>
          <w:tcPr>
            <w:tcW w:w="2158" w:type="dxa"/>
          </w:tcPr>
          <w:p w14:paraId="2B6B67BE"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60</w:t>
            </w:r>
            <w:r>
              <w:rPr>
                <w:rFonts w:ascii="Times New Roman" w:eastAsia="宋体" w:hAnsi="Times New Roman" w:cs="宋体" w:hint="eastAsia"/>
                <w:kern w:val="0"/>
                <w:szCs w:val="21"/>
                <w:lang w:eastAsia="en-US"/>
              </w:rPr>
              <w:t>分</w:t>
            </w:r>
          </w:p>
        </w:tc>
      </w:tr>
      <w:tr w:rsidR="00FE5376" w14:paraId="275498B7" w14:textId="77777777">
        <w:tc>
          <w:tcPr>
            <w:tcW w:w="2158" w:type="dxa"/>
          </w:tcPr>
          <w:p w14:paraId="475903FA"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proofErr w:type="spellStart"/>
            <w:r>
              <w:rPr>
                <w:rFonts w:ascii="Times New Roman" w:eastAsia="宋体" w:hAnsi="Times New Roman" w:cs="宋体" w:hint="eastAsia"/>
                <w:kern w:val="0"/>
                <w:szCs w:val="21"/>
                <w:lang w:eastAsia="en-US"/>
              </w:rPr>
              <w:t>论述题</w:t>
            </w:r>
            <w:proofErr w:type="spellEnd"/>
          </w:p>
        </w:tc>
        <w:tc>
          <w:tcPr>
            <w:tcW w:w="2158" w:type="dxa"/>
          </w:tcPr>
          <w:p w14:paraId="205A938D"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2</w:t>
            </w:r>
            <w:r>
              <w:rPr>
                <w:rFonts w:ascii="Times New Roman" w:eastAsia="宋体" w:hAnsi="Times New Roman" w:cs="宋体" w:hint="eastAsia"/>
                <w:kern w:val="0"/>
                <w:szCs w:val="21"/>
                <w:lang w:eastAsia="en-US"/>
              </w:rPr>
              <w:t>题</w:t>
            </w:r>
          </w:p>
        </w:tc>
        <w:tc>
          <w:tcPr>
            <w:tcW w:w="2158" w:type="dxa"/>
          </w:tcPr>
          <w:p w14:paraId="067DBAE7"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25</w:t>
            </w:r>
            <w:r>
              <w:rPr>
                <w:rFonts w:ascii="Times New Roman" w:eastAsia="宋体" w:hAnsi="Times New Roman" w:cs="宋体" w:hint="eastAsia"/>
                <w:kern w:val="0"/>
                <w:szCs w:val="21"/>
                <w:lang w:eastAsia="en-US"/>
              </w:rPr>
              <w:t>分</w:t>
            </w:r>
          </w:p>
        </w:tc>
        <w:tc>
          <w:tcPr>
            <w:tcW w:w="2158" w:type="dxa"/>
          </w:tcPr>
          <w:p w14:paraId="34FAEC3B" w14:textId="77777777" w:rsidR="00FE5376" w:rsidRDefault="00000000">
            <w:pPr>
              <w:widowControl/>
              <w:spacing w:line="360" w:lineRule="auto"/>
              <w:ind w:firstLineChars="200" w:firstLine="420"/>
              <w:jc w:val="left"/>
              <w:rPr>
                <w:rFonts w:ascii="Times New Roman" w:eastAsia="宋体" w:hAnsi="Times New Roman" w:cs="宋体"/>
                <w:kern w:val="0"/>
                <w:szCs w:val="21"/>
                <w:lang w:eastAsia="en-US"/>
              </w:rPr>
            </w:pPr>
            <w:r>
              <w:rPr>
                <w:rFonts w:ascii="Times New Roman" w:eastAsia="宋体" w:hAnsi="Times New Roman" w:cs="宋体" w:hint="eastAsia"/>
                <w:kern w:val="0"/>
                <w:szCs w:val="21"/>
                <w:lang w:eastAsia="en-US"/>
              </w:rPr>
              <w:t>50</w:t>
            </w:r>
            <w:r>
              <w:rPr>
                <w:rFonts w:ascii="Times New Roman" w:eastAsia="宋体" w:hAnsi="Times New Roman" w:cs="宋体" w:hint="eastAsia"/>
                <w:kern w:val="0"/>
                <w:szCs w:val="21"/>
                <w:lang w:eastAsia="en-US"/>
              </w:rPr>
              <w:t>分</w:t>
            </w:r>
          </w:p>
        </w:tc>
      </w:tr>
      <w:tr w:rsidR="00FE5376" w14:paraId="2E20D3A9" w14:textId="77777777">
        <w:tc>
          <w:tcPr>
            <w:tcW w:w="2158" w:type="dxa"/>
          </w:tcPr>
          <w:p w14:paraId="6D7407ED"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proofErr w:type="spellStart"/>
            <w:r>
              <w:rPr>
                <w:rFonts w:ascii="Times New Roman" w:eastAsia="宋体" w:hAnsi="Times New Roman" w:cs="宋体" w:hint="eastAsia"/>
                <w:b/>
                <w:kern w:val="0"/>
                <w:szCs w:val="21"/>
                <w:lang w:eastAsia="en-US"/>
              </w:rPr>
              <w:t>合计</w:t>
            </w:r>
            <w:proofErr w:type="spellEnd"/>
          </w:p>
        </w:tc>
        <w:tc>
          <w:tcPr>
            <w:tcW w:w="2158" w:type="dxa"/>
          </w:tcPr>
          <w:p w14:paraId="74073DF4"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r>
              <w:rPr>
                <w:rFonts w:ascii="Times New Roman" w:eastAsia="宋体" w:hAnsi="Times New Roman" w:cs="宋体" w:hint="eastAsia"/>
                <w:b/>
                <w:kern w:val="0"/>
                <w:szCs w:val="21"/>
                <w:lang w:eastAsia="en-US"/>
              </w:rPr>
              <w:t>11</w:t>
            </w:r>
            <w:r>
              <w:rPr>
                <w:rFonts w:ascii="Times New Roman" w:eastAsia="宋体" w:hAnsi="Times New Roman" w:cs="宋体" w:hint="eastAsia"/>
                <w:b/>
                <w:kern w:val="0"/>
                <w:szCs w:val="21"/>
                <w:lang w:eastAsia="en-US"/>
              </w:rPr>
              <w:t>题</w:t>
            </w:r>
          </w:p>
        </w:tc>
        <w:tc>
          <w:tcPr>
            <w:tcW w:w="2158" w:type="dxa"/>
          </w:tcPr>
          <w:p w14:paraId="2C1FC96E"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r>
              <w:rPr>
                <w:rFonts w:ascii="Times New Roman" w:eastAsia="宋体" w:hAnsi="Times New Roman" w:cs="宋体" w:hint="eastAsia"/>
                <w:b/>
                <w:kern w:val="0"/>
                <w:szCs w:val="21"/>
                <w:lang w:eastAsia="en-US"/>
              </w:rPr>
              <w:t>—</w:t>
            </w:r>
          </w:p>
        </w:tc>
        <w:tc>
          <w:tcPr>
            <w:tcW w:w="2158" w:type="dxa"/>
          </w:tcPr>
          <w:p w14:paraId="71ADB66F" w14:textId="77777777" w:rsidR="00FE5376" w:rsidRDefault="00000000">
            <w:pPr>
              <w:widowControl/>
              <w:spacing w:line="360" w:lineRule="auto"/>
              <w:ind w:firstLineChars="200" w:firstLine="422"/>
              <w:jc w:val="left"/>
              <w:rPr>
                <w:rFonts w:ascii="Times New Roman" w:eastAsia="宋体" w:hAnsi="Times New Roman" w:cs="宋体"/>
                <w:kern w:val="0"/>
                <w:szCs w:val="21"/>
                <w:lang w:eastAsia="en-US"/>
              </w:rPr>
            </w:pPr>
            <w:r>
              <w:rPr>
                <w:rFonts w:ascii="Times New Roman" w:eastAsia="宋体" w:hAnsi="Times New Roman" w:cs="宋体" w:hint="eastAsia"/>
                <w:b/>
                <w:kern w:val="0"/>
                <w:szCs w:val="21"/>
                <w:lang w:eastAsia="en-US"/>
              </w:rPr>
              <w:t>150</w:t>
            </w:r>
            <w:r>
              <w:rPr>
                <w:rFonts w:ascii="Times New Roman" w:eastAsia="宋体" w:hAnsi="Times New Roman" w:cs="宋体" w:hint="eastAsia"/>
                <w:b/>
                <w:kern w:val="0"/>
                <w:szCs w:val="21"/>
                <w:lang w:eastAsia="en-US"/>
              </w:rPr>
              <w:t>分</w:t>
            </w:r>
          </w:p>
        </w:tc>
      </w:tr>
    </w:tbl>
    <w:p w14:paraId="0C9D983D" w14:textId="77777777" w:rsidR="00FE5376" w:rsidRDefault="00000000">
      <w:pPr>
        <w:widowControl/>
        <w:spacing w:before="80" w:after="40" w:line="360" w:lineRule="auto"/>
        <w:rPr>
          <w:rFonts w:ascii="Times New Roman" w:eastAsia="楷体" w:hAnsi="Times New Roman"/>
          <w:b/>
          <w:kern w:val="0"/>
          <w:sz w:val="24"/>
          <w:szCs w:val="24"/>
          <w:lang w:eastAsia="en-US"/>
        </w:rPr>
      </w:pPr>
      <w:r>
        <w:rPr>
          <w:rFonts w:ascii="Times New Roman" w:eastAsia="楷体" w:hAnsi="Times New Roman"/>
          <w:b/>
          <w:kern w:val="0"/>
          <w:sz w:val="24"/>
          <w:szCs w:val="24"/>
          <w:lang w:eastAsia="en-US"/>
        </w:rPr>
        <w:t>（</w:t>
      </w:r>
      <w:proofErr w:type="spellStart"/>
      <w:r>
        <w:rPr>
          <w:rFonts w:ascii="Times New Roman" w:eastAsia="楷体" w:hAnsi="Times New Roman"/>
          <w:b/>
          <w:kern w:val="0"/>
          <w:sz w:val="24"/>
          <w:szCs w:val="24"/>
          <w:lang w:eastAsia="en-US"/>
        </w:rPr>
        <w:t>四）各题型考查要求</w:t>
      </w:r>
      <w:proofErr w:type="spellEnd"/>
    </w:p>
    <w:p w14:paraId="05E1530A" w14:textId="607FA09A" w:rsidR="00FE5376" w:rsidRDefault="00000000">
      <w:pPr>
        <w:widowControl/>
        <w:spacing w:after="60" w:line="360" w:lineRule="auto"/>
        <w:ind w:firstLineChars="200" w:firstLine="480"/>
        <w:jc w:val="left"/>
        <w:rPr>
          <w:rFonts w:ascii="Times New Roman" w:eastAsia="MS Mincho" w:hAnsi="Times New Roman" w:cs="Times New Roman"/>
          <w:kern w:val="0"/>
          <w:sz w:val="24"/>
          <w:szCs w:val="24"/>
        </w:rPr>
      </w:pPr>
      <w:r>
        <w:rPr>
          <w:rFonts w:ascii="Times New Roman" w:eastAsia="宋体" w:hAnsi="Times New Roman" w:cs="宋体" w:hint="eastAsia"/>
          <w:kern w:val="0"/>
          <w:sz w:val="24"/>
          <w:szCs w:val="24"/>
        </w:rPr>
        <w:t>名词解释：主要考查考生对区域国别学跨学科研究核心概念、</w:t>
      </w:r>
      <w:r w:rsidR="00BD4297" w:rsidRPr="00BD4297">
        <w:rPr>
          <w:rFonts w:ascii="Times New Roman" w:eastAsia="宋体" w:hAnsi="Times New Roman" w:cs="宋体"/>
          <w:kern w:val="0"/>
          <w:sz w:val="24"/>
          <w:szCs w:val="24"/>
        </w:rPr>
        <w:t>中亚研究重要概念与专门术语</w:t>
      </w:r>
      <w:r w:rsidR="00BD4297">
        <w:rPr>
          <w:rFonts w:ascii="Times New Roman" w:eastAsia="宋体" w:hAnsi="Times New Roman" w:cs="宋体" w:hint="eastAsia"/>
          <w:kern w:val="0"/>
          <w:sz w:val="24"/>
          <w:szCs w:val="24"/>
        </w:rPr>
        <w:t>、以</w:t>
      </w:r>
      <w:r>
        <w:rPr>
          <w:rFonts w:ascii="Times New Roman" w:eastAsia="宋体" w:hAnsi="Times New Roman" w:cs="宋体" w:hint="eastAsia"/>
          <w:kern w:val="0"/>
          <w:sz w:val="24"/>
          <w:szCs w:val="24"/>
        </w:rPr>
        <w:t>及上合组织相关基本知识点的掌握程度。要求表述准确，内容完整，语言简洁流畅。</w:t>
      </w:r>
    </w:p>
    <w:p w14:paraId="30442A2C" w14:textId="4848D386" w:rsidR="00FE5376" w:rsidRDefault="00000000">
      <w:pPr>
        <w:widowControl/>
        <w:spacing w:after="60" w:line="360" w:lineRule="auto"/>
        <w:ind w:firstLineChars="200" w:firstLine="480"/>
        <w:jc w:val="left"/>
        <w:rPr>
          <w:rFonts w:ascii="Times New Roman" w:eastAsia="MS Mincho" w:hAnsi="Times New Roman" w:cs="Times New Roman"/>
          <w:kern w:val="0"/>
          <w:sz w:val="24"/>
          <w:szCs w:val="24"/>
        </w:rPr>
      </w:pPr>
      <w:r>
        <w:rPr>
          <w:rFonts w:ascii="Times New Roman" w:eastAsia="宋体" w:hAnsi="Times New Roman" w:cs="宋体" w:hint="eastAsia"/>
          <w:kern w:val="0"/>
          <w:sz w:val="24"/>
          <w:szCs w:val="24"/>
        </w:rPr>
        <w:t>简答题：主要考查考生对区域国别研究理论与方法、中亚地区核心议题及</w:t>
      </w:r>
      <w:r w:rsidR="00BD4297" w:rsidRPr="00BD4297">
        <w:rPr>
          <w:rFonts w:ascii="Times New Roman" w:eastAsia="宋体" w:hAnsi="Times New Roman" w:cs="宋体"/>
          <w:kern w:val="0"/>
          <w:sz w:val="24"/>
          <w:szCs w:val="24"/>
        </w:rPr>
        <w:t>上海合作组织及其区域合作机制</w:t>
      </w:r>
      <w:r>
        <w:rPr>
          <w:rFonts w:ascii="Times New Roman" w:eastAsia="宋体" w:hAnsi="Times New Roman" w:cs="宋体" w:hint="eastAsia"/>
          <w:kern w:val="0"/>
          <w:sz w:val="24"/>
          <w:szCs w:val="24"/>
        </w:rPr>
        <w:t>的理解与分析能力。要求紧扣题目，观点明确，条理清晰，能够准确运用专业术语。</w:t>
      </w:r>
    </w:p>
    <w:p w14:paraId="2B2968D1" w14:textId="77777777" w:rsidR="00FE5376" w:rsidRDefault="00000000">
      <w:pPr>
        <w:widowControl/>
        <w:spacing w:after="60" w:line="360" w:lineRule="auto"/>
        <w:ind w:firstLineChars="200" w:firstLine="480"/>
        <w:jc w:val="left"/>
        <w:rPr>
          <w:rFonts w:ascii="Times New Roman" w:eastAsia="MS Mincho" w:hAnsi="Times New Roman" w:cs="Times New Roman"/>
          <w:kern w:val="0"/>
          <w:sz w:val="24"/>
          <w:szCs w:val="24"/>
        </w:rPr>
      </w:pPr>
      <w:r>
        <w:rPr>
          <w:rFonts w:ascii="Times New Roman" w:eastAsia="宋体" w:hAnsi="Times New Roman" w:cs="宋体" w:hint="eastAsia"/>
          <w:kern w:val="0"/>
          <w:sz w:val="24"/>
          <w:szCs w:val="24"/>
        </w:rPr>
        <w:t>论述题：主要考查考生综合运用区域国别学跨学科理论与方法，结合中亚及上合组织区域的具体案例，对现实问题进行深入分析与独立判断的能力。要求论点明确，论据充分，逻辑严密，能够体现跨学科的综合分析视角。</w:t>
      </w:r>
    </w:p>
    <w:p w14:paraId="5B5C828F" w14:textId="77777777" w:rsidR="00FE5376" w:rsidRDefault="00000000">
      <w:pPr>
        <w:widowControl/>
        <w:spacing w:before="160" w:after="80" w:line="360" w:lineRule="auto"/>
        <w:rPr>
          <w:rFonts w:ascii="Times New Roman" w:eastAsia="黑体" w:hAnsi="Times New Roman"/>
          <w:b/>
          <w:kern w:val="0"/>
          <w:sz w:val="28"/>
          <w:szCs w:val="28"/>
        </w:rPr>
      </w:pPr>
      <w:r>
        <w:rPr>
          <w:rFonts w:ascii="Times New Roman" w:eastAsia="黑体" w:hAnsi="Times New Roman"/>
          <w:b/>
          <w:kern w:val="0"/>
          <w:sz w:val="28"/>
          <w:szCs w:val="28"/>
        </w:rPr>
        <w:t>四、考试内容</w:t>
      </w:r>
    </w:p>
    <w:p w14:paraId="5EED57A1" w14:textId="77777777" w:rsidR="00FE5376" w:rsidRDefault="00000000">
      <w:pPr>
        <w:widowControl/>
        <w:spacing w:before="80" w:after="40" w:line="360" w:lineRule="auto"/>
        <w:jc w:val="left"/>
        <w:rPr>
          <w:rFonts w:ascii="Times New Roman" w:eastAsia="宋体" w:hAnsi="Times New Roman" w:cs="宋体"/>
          <w:kern w:val="0"/>
          <w:sz w:val="24"/>
          <w:szCs w:val="24"/>
        </w:rPr>
      </w:pPr>
      <w:r>
        <w:rPr>
          <w:rFonts w:ascii="Times New Roman" w:eastAsia="宋体" w:hAnsi="Times New Roman" w:cs="宋体" w:hint="eastAsia"/>
          <w:b/>
          <w:kern w:val="0"/>
          <w:sz w:val="24"/>
          <w:szCs w:val="24"/>
        </w:rPr>
        <w:t>第一部分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区域国别学的基础理论与跨学科方法</w:t>
      </w:r>
    </w:p>
    <w:p w14:paraId="7F8A9225"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一、区域国别学的学科内涵、发展历程与范式演变</w:t>
      </w:r>
    </w:p>
    <w:p w14:paraId="6D98A466"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二、区域国别学的知识体系与多学科基础</w:t>
      </w:r>
    </w:p>
    <w:p w14:paraId="09562DC4"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三、中国区域国别学的学科建设与前沿进展</w:t>
      </w:r>
    </w:p>
    <w:p w14:paraId="2F7BC564"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四、区域国别研究的主要理论流派与跨学科研究方法论</w:t>
      </w:r>
    </w:p>
    <w:p w14:paraId="44A3965A" w14:textId="77777777" w:rsidR="00FE5376" w:rsidRDefault="00000000">
      <w:pPr>
        <w:widowControl/>
        <w:spacing w:before="80" w:after="40" w:line="360" w:lineRule="auto"/>
        <w:jc w:val="left"/>
        <w:rPr>
          <w:rFonts w:ascii="Times New Roman" w:eastAsia="宋体" w:hAnsi="Times New Roman" w:cs="宋体"/>
          <w:kern w:val="0"/>
          <w:sz w:val="24"/>
          <w:szCs w:val="24"/>
        </w:rPr>
      </w:pPr>
      <w:r>
        <w:rPr>
          <w:rFonts w:ascii="Times New Roman" w:eastAsia="宋体" w:hAnsi="Times New Roman" w:cs="宋体" w:hint="eastAsia"/>
          <w:b/>
          <w:kern w:val="0"/>
          <w:sz w:val="24"/>
          <w:szCs w:val="24"/>
        </w:rPr>
        <w:t>第二部分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中亚研究的理论路径与分析框架</w:t>
      </w:r>
    </w:p>
    <w:p w14:paraId="1A8EAE3C"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lastRenderedPageBreak/>
        <w:t>一、中国中亚研究的学术史与发展评估</w:t>
      </w:r>
    </w:p>
    <w:p w14:paraId="027CF8D4"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二、比较区域研究的基本类型及其在中亚研究中的运用</w:t>
      </w:r>
    </w:p>
    <w:p w14:paraId="3BDED314"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三、中亚研究的中层概念创新与研究路径</w:t>
      </w:r>
    </w:p>
    <w:p w14:paraId="780F88B3"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四、中亚研究的方法论反思与多维分析框架建构</w:t>
      </w:r>
    </w:p>
    <w:p w14:paraId="576F6DCC" w14:textId="77777777" w:rsidR="00FE5376" w:rsidRDefault="00000000">
      <w:pPr>
        <w:widowControl/>
        <w:spacing w:before="80" w:after="40" w:line="360" w:lineRule="auto"/>
        <w:jc w:val="left"/>
        <w:rPr>
          <w:rFonts w:ascii="Times New Roman" w:eastAsia="宋体" w:hAnsi="Times New Roman" w:cs="宋体"/>
          <w:kern w:val="0"/>
          <w:sz w:val="24"/>
          <w:szCs w:val="24"/>
        </w:rPr>
      </w:pPr>
      <w:r>
        <w:rPr>
          <w:rFonts w:ascii="Times New Roman" w:eastAsia="宋体" w:hAnsi="Times New Roman" w:cs="宋体" w:hint="eastAsia"/>
          <w:b/>
          <w:kern w:val="0"/>
          <w:sz w:val="24"/>
          <w:szCs w:val="24"/>
        </w:rPr>
        <w:t>第三部分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中亚地区的国情与地缘格局</w:t>
      </w:r>
    </w:p>
    <w:p w14:paraId="782BE310"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一、中亚地区的地理特征、历史脉络与战略地位</w:t>
      </w:r>
    </w:p>
    <w:p w14:paraId="523AE249"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二、中亚五国的基本国情与政治转型</w:t>
      </w:r>
    </w:p>
    <w:p w14:paraId="27A5A086"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三、中亚地区的经济发展和区域合作特点</w:t>
      </w:r>
    </w:p>
    <w:p w14:paraId="360E213B"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四、中亚地区在国际体系中的定位与影响</w:t>
      </w:r>
    </w:p>
    <w:p w14:paraId="02F67686" w14:textId="77777777" w:rsidR="00FE5376" w:rsidRDefault="00000000">
      <w:pPr>
        <w:widowControl/>
        <w:spacing w:after="60" w:line="360" w:lineRule="auto"/>
        <w:jc w:val="left"/>
        <w:rPr>
          <w:rFonts w:ascii="Times New Roman" w:eastAsia="宋体" w:hAnsi="Times New Roman" w:cs="宋体"/>
          <w:kern w:val="0"/>
          <w:sz w:val="24"/>
          <w:szCs w:val="24"/>
        </w:rPr>
      </w:pPr>
      <w:r>
        <w:rPr>
          <w:rFonts w:ascii="Times New Roman" w:eastAsia="宋体" w:hAnsi="Times New Roman" w:cs="宋体" w:hint="eastAsia"/>
          <w:b/>
          <w:kern w:val="0"/>
          <w:sz w:val="24"/>
          <w:szCs w:val="24"/>
        </w:rPr>
        <w:t>第四部分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中亚地区的核心议题与安全治理</w:t>
      </w:r>
    </w:p>
    <w:p w14:paraId="26C719BA"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一、“颜色革命”的演进逻辑与地区影响</w:t>
      </w:r>
    </w:p>
    <w:p w14:paraId="4A202547"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二、中亚地区的传统与非传统安全挑战</w:t>
      </w:r>
    </w:p>
    <w:p w14:paraId="06D492AC"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三、中亚地区的大国博弈与地缘竞争</w:t>
      </w:r>
    </w:p>
    <w:p w14:paraId="5AA51F23"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四、中亚国家的发展模式与现代化路径</w:t>
      </w:r>
    </w:p>
    <w:p w14:paraId="50CF8A6C" w14:textId="77777777" w:rsidR="00FE5376" w:rsidRDefault="00000000">
      <w:pPr>
        <w:widowControl/>
        <w:spacing w:before="80" w:after="40" w:line="360" w:lineRule="auto"/>
        <w:jc w:val="left"/>
        <w:rPr>
          <w:rFonts w:ascii="Times New Roman" w:eastAsia="宋体" w:hAnsi="Times New Roman" w:cs="宋体"/>
          <w:b/>
          <w:kern w:val="0"/>
          <w:sz w:val="24"/>
          <w:szCs w:val="24"/>
        </w:rPr>
      </w:pPr>
      <w:r>
        <w:rPr>
          <w:rFonts w:ascii="Times New Roman" w:eastAsia="宋体" w:hAnsi="Times New Roman" w:cs="宋体" w:hint="eastAsia"/>
          <w:b/>
          <w:kern w:val="0"/>
          <w:sz w:val="24"/>
          <w:szCs w:val="24"/>
        </w:rPr>
        <w:t>第五部分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中亚地区的治理机制与秩序构建</w:t>
      </w:r>
    </w:p>
    <w:p w14:paraId="25574798" w14:textId="77777777" w:rsidR="00FE5376" w:rsidRDefault="00000000">
      <w:pPr>
        <w:widowControl/>
        <w:spacing w:before="80" w:after="4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一、中亚地区治理的演进历程与模式变迁</w:t>
      </w:r>
    </w:p>
    <w:p w14:paraId="58BE7A55" w14:textId="77777777" w:rsidR="00FE5376" w:rsidRDefault="00000000">
      <w:pPr>
        <w:widowControl/>
        <w:spacing w:before="80" w:after="4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二、中亚地区秩序的基本特征与演变逻辑</w:t>
      </w:r>
    </w:p>
    <w:p w14:paraId="6ED0007A"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三、上海合作组织的区域治理实践与“上海精神”</w:t>
      </w:r>
    </w:p>
    <w:p w14:paraId="1CA2AF2C"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四、中亚地区多边合作机制和治理趋势</w:t>
      </w:r>
    </w:p>
    <w:p w14:paraId="7FE213AF" w14:textId="77777777" w:rsidR="00FE5376" w:rsidRDefault="00000000">
      <w:pPr>
        <w:widowControl/>
        <w:spacing w:after="60" w:line="360" w:lineRule="auto"/>
        <w:jc w:val="left"/>
        <w:rPr>
          <w:rFonts w:ascii="Times New Roman" w:eastAsia="宋体" w:hAnsi="Times New Roman" w:cs="宋体"/>
          <w:b/>
          <w:kern w:val="0"/>
          <w:sz w:val="24"/>
          <w:szCs w:val="24"/>
        </w:rPr>
      </w:pPr>
      <w:r>
        <w:rPr>
          <w:rFonts w:ascii="Times New Roman" w:eastAsia="宋体" w:hAnsi="Times New Roman" w:cs="宋体" w:hint="eastAsia"/>
          <w:b/>
          <w:kern w:val="0"/>
          <w:sz w:val="24"/>
          <w:szCs w:val="24"/>
        </w:rPr>
        <w:t>第六部分</w:t>
      </w:r>
      <w:r>
        <w:rPr>
          <w:rFonts w:ascii="Times New Roman" w:eastAsia="宋体" w:hAnsi="Times New Roman" w:cs="宋体" w:hint="eastAsia"/>
          <w:b/>
          <w:kern w:val="0"/>
          <w:sz w:val="24"/>
          <w:szCs w:val="24"/>
        </w:rPr>
        <w:t xml:space="preserve">  </w:t>
      </w:r>
      <w:r>
        <w:rPr>
          <w:rFonts w:ascii="Times New Roman" w:eastAsia="宋体" w:hAnsi="Times New Roman" w:cs="宋体" w:hint="eastAsia"/>
          <w:b/>
          <w:kern w:val="0"/>
          <w:sz w:val="24"/>
          <w:szCs w:val="24"/>
        </w:rPr>
        <w:t>中国与中亚国家的关系及区域合作</w:t>
      </w:r>
    </w:p>
    <w:p w14:paraId="57D523F1"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一、中国与中亚国家关系的历史演进与政治互信</w:t>
      </w:r>
    </w:p>
    <w:p w14:paraId="1666D36A"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二、中国与中亚国家的安全合作机制</w:t>
      </w:r>
    </w:p>
    <w:p w14:paraId="3C32AF87"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三、“一带一路”框架下的经济合作、能源合作与互联互通</w:t>
      </w:r>
    </w:p>
    <w:p w14:paraId="27941EE6"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四、全球发展倡议、全球安全倡议与全球文明倡议在中亚的落地实施和典型案例</w:t>
      </w:r>
    </w:p>
    <w:p w14:paraId="0C6D5830" w14:textId="77777777" w:rsidR="00FE5376" w:rsidRDefault="00000000">
      <w:pPr>
        <w:widowControl/>
        <w:spacing w:before="160" w:after="80" w:line="360" w:lineRule="auto"/>
        <w:rPr>
          <w:rFonts w:ascii="Times New Roman" w:eastAsia="黑体" w:hAnsi="Times New Roman"/>
          <w:b/>
          <w:kern w:val="0"/>
          <w:sz w:val="28"/>
          <w:szCs w:val="28"/>
        </w:rPr>
      </w:pPr>
      <w:r>
        <w:rPr>
          <w:rFonts w:ascii="Times New Roman" w:eastAsia="黑体" w:hAnsi="Times New Roman"/>
          <w:b/>
          <w:kern w:val="0"/>
          <w:sz w:val="28"/>
          <w:szCs w:val="28"/>
        </w:rPr>
        <w:t>五、主要参考书目</w:t>
      </w:r>
    </w:p>
    <w:p w14:paraId="5F55EBB9"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lastRenderedPageBreak/>
        <w:t>（一）曾向红著：《中亚研究：理论基础与研究议题》，中国社会科学出版社，</w:t>
      </w:r>
      <w:r>
        <w:rPr>
          <w:rFonts w:ascii="Times New Roman" w:eastAsia="宋体" w:hAnsi="Times New Roman" w:cs="宋体" w:hint="eastAsia"/>
          <w:kern w:val="0"/>
          <w:sz w:val="24"/>
          <w:szCs w:val="24"/>
        </w:rPr>
        <w:t>2023</w:t>
      </w:r>
      <w:r>
        <w:rPr>
          <w:rFonts w:ascii="Times New Roman" w:eastAsia="宋体" w:hAnsi="Times New Roman" w:cs="宋体" w:hint="eastAsia"/>
          <w:kern w:val="0"/>
          <w:sz w:val="24"/>
          <w:szCs w:val="24"/>
        </w:rPr>
        <w:t>年。</w:t>
      </w:r>
    </w:p>
    <w:p w14:paraId="5A0FFE57"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（二）张蔚磊主编：《区域国别学跨学科研究的理论与方法》，中国人民大学出版社，</w:t>
      </w:r>
      <w:r>
        <w:rPr>
          <w:rFonts w:ascii="Times New Roman" w:eastAsia="宋体" w:hAnsi="Times New Roman" w:cs="宋体" w:hint="eastAsia"/>
          <w:kern w:val="0"/>
          <w:sz w:val="24"/>
          <w:szCs w:val="24"/>
        </w:rPr>
        <w:t>2024</w:t>
      </w:r>
      <w:r>
        <w:rPr>
          <w:rFonts w:ascii="Times New Roman" w:eastAsia="宋体" w:hAnsi="Times New Roman" w:cs="宋体" w:hint="eastAsia"/>
          <w:kern w:val="0"/>
          <w:sz w:val="24"/>
          <w:szCs w:val="24"/>
        </w:rPr>
        <w:t>年。</w:t>
      </w:r>
    </w:p>
    <w:p w14:paraId="3EA67A2A" w14:textId="77777777" w:rsidR="00FE5376" w:rsidRDefault="00FE5376">
      <w:pPr>
        <w:widowControl/>
        <w:spacing w:after="60" w:line="360" w:lineRule="auto"/>
        <w:ind w:firstLineChars="200" w:firstLine="480"/>
        <w:jc w:val="left"/>
        <w:rPr>
          <w:rFonts w:ascii="Times New Roman" w:eastAsia="宋体" w:hAnsi="Times New Roman" w:cs="宋体"/>
          <w:kern w:val="0"/>
          <w:sz w:val="24"/>
          <w:szCs w:val="24"/>
        </w:rPr>
      </w:pPr>
    </w:p>
    <w:p w14:paraId="6E99C449" w14:textId="77777777" w:rsidR="00FE5376" w:rsidRDefault="00000000">
      <w:pPr>
        <w:widowControl/>
        <w:spacing w:after="60" w:line="360" w:lineRule="auto"/>
        <w:ind w:firstLineChars="200" w:firstLine="480"/>
        <w:jc w:val="left"/>
        <w:rPr>
          <w:rFonts w:ascii="Times New Roman" w:eastAsia="宋体" w:hAnsi="Times New Roman" w:cs="宋体"/>
          <w:kern w:val="0"/>
          <w:sz w:val="24"/>
          <w:szCs w:val="24"/>
        </w:rPr>
      </w:pPr>
      <w:r>
        <w:rPr>
          <w:rFonts w:ascii="Times New Roman" w:eastAsia="宋体" w:hAnsi="Times New Roman" w:cs="宋体" w:hint="eastAsia"/>
          <w:kern w:val="0"/>
          <w:sz w:val="24"/>
          <w:szCs w:val="24"/>
        </w:rPr>
        <w:t>注：研究生招生考试属于择优选拔性考试，考试大纲及参考书目仅供参考，考试内容及题型可涵盖但不限于上述范围，主要考察考生分析和解决问题的能力。考生在备考过程中应关注中亚地区形势、上海合作组织合作动态及区域国别学学科发展的前沿动态。</w:t>
      </w:r>
    </w:p>
    <w:p w14:paraId="6A50FD12" w14:textId="77777777" w:rsidR="00FE5376" w:rsidRDefault="00FE5376">
      <w:pPr>
        <w:spacing w:line="360" w:lineRule="auto"/>
        <w:ind w:firstLineChars="200" w:firstLine="420"/>
        <w:jc w:val="left"/>
        <w:rPr>
          <w:rFonts w:ascii="Times New Roman" w:hAnsi="Times New Roman"/>
        </w:rPr>
      </w:pPr>
    </w:p>
    <w:sectPr w:rsidR="00FE53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2E53B3"/>
    <w:rsid w:val="003C54AA"/>
    <w:rsid w:val="004B12C3"/>
    <w:rsid w:val="00547660"/>
    <w:rsid w:val="00594769"/>
    <w:rsid w:val="006145BF"/>
    <w:rsid w:val="006D132E"/>
    <w:rsid w:val="007274B2"/>
    <w:rsid w:val="007A3BE3"/>
    <w:rsid w:val="007E612C"/>
    <w:rsid w:val="00822BB9"/>
    <w:rsid w:val="00BA2BB9"/>
    <w:rsid w:val="00BD4297"/>
    <w:rsid w:val="00C6355E"/>
    <w:rsid w:val="00E5345A"/>
    <w:rsid w:val="00FE5376"/>
    <w:rsid w:val="00FF20AD"/>
    <w:rsid w:val="00FF2260"/>
    <w:rsid w:val="014F662F"/>
    <w:rsid w:val="054C20C7"/>
    <w:rsid w:val="0BF279A7"/>
    <w:rsid w:val="0DD575FA"/>
    <w:rsid w:val="0EAF4ABE"/>
    <w:rsid w:val="11EA264C"/>
    <w:rsid w:val="1DEF6D8A"/>
    <w:rsid w:val="265374C3"/>
    <w:rsid w:val="26F2342E"/>
    <w:rsid w:val="2CE6483A"/>
    <w:rsid w:val="4749529C"/>
    <w:rsid w:val="48685C8E"/>
    <w:rsid w:val="506A3ECB"/>
    <w:rsid w:val="508B4B6D"/>
    <w:rsid w:val="57084471"/>
    <w:rsid w:val="62386938"/>
    <w:rsid w:val="6A586707"/>
    <w:rsid w:val="7358470B"/>
    <w:rsid w:val="74BC0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C8EB0"/>
  <w15:docId w15:val="{CEB19BF4-A731-4C7C-A403-4DF36192D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table" w:customStyle="1" w:styleId="1">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Pr>
      <w:sz w:val="21"/>
      <w:szCs w:val="21"/>
    </w:rPr>
  </w:style>
  <w:style w:type="paragraph" w:styleId="ab">
    <w:name w:val="annotation subject"/>
    <w:basedOn w:val="a3"/>
    <w:next w:val="a3"/>
    <w:link w:val="ac"/>
    <w:uiPriority w:val="99"/>
    <w:semiHidden/>
    <w:unhideWhenUsed/>
    <w:rsid w:val="00FF2260"/>
    <w:rPr>
      <w:b/>
      <w:bCs/>
    </w:rPr>
  </w:style>
  <w:style w:type="character" w:customStyle="1" w:styleId="a4">
    <w:name w:val="批注文字 字符"/>
    <w:basedOn w:val="a0"/>
    <w:link w:val="a3"/>
    <w:uiPriority w:val="99"/>
    <w:rsid w:val="00FF2260"/>
    <w:rPr>
      <w:rFonts w:asciiTheme="minorHAnsi" w:eastAsiaTheme="minorEastAsia" w:hAnsiTheme="minorHAnsi" w:cstheme="minorBidi"/>
      <w:kern w:val="2"/>
      <w:sz w:val="21"/>
      <w:szCs w:val="22"/>
    </w:rPr>
  </w:style>
  <w:style w:type="character" w:customStyle="1" w:styleId="ac">
    <w:name w:val="批注主题 字符"/>
    <w:basedOn w:val="a4"/>
    <w:link w:val="ab"/>
    <w:uiPriority w:val="99"/>
    <w:semiHidden/>
    <w:rsid w:val="00FF2260"/>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993</Words>
  <Characters>1003</Characters>
  <Application>Microsoft Office Word</Application>
  <DocSecurity>0</DocSecurity>
  <Lines>55</Lines>
  <Paragraphs>76</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Z18710320326@outlook.com</cp:lastModifiedBy>
  <cp:revision>8</cp:revision>
  <dcterms:created xsi:type="dcterms:W3CDTF">2026-07-14T14:16:00Z</dcterms:created>
  <dcterms:modified xsi:type="dcterms:W3CDTF">2026-09-15T06:09:00Z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eyJoZGlkIjoiMWI4YjJjZTUzNGNlYTQyODI4ZTEyNDRhODcyM2Y3ZDEiLCJ1c2VySWQiOiI3MTY1ODczMTgifQ==</vt:lpwstr>
  </property>
  <property fmtid="{D5CDD505-2E9C-101B-9397-08002B2CF9AE}" pid="3" name="KSOProductBuildVer">
    <vt:lpwstr>2052-12.1.0.28043</vt:lpwstr>
  </property>
  <property fmtid="{D5CDD505-2E9C-101B-9397-08002B2CF9AE}" pid="4" name="ICV">
    <vt:lpwstr>42640099A02E49F59E9F5B9F2449156E_13</vt:lpwstr>
  </property>
</Properties>
</file>